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736538">
      <w:pPr>
        <w:pStyle w:val="23"/>
        <w:spacing w:line="360" w:lineRule="auto"/>
        <w:jc w:val="center"/>
        <w:rPr>
          <w:rFonts w:ascii="仿宋_GB2312" w:hAnsi="仿宋" w:eastAsia="仿宋_GB2312"/>
          <w:b/>
          <w:color w:val="auto"/>
          <w:sz w:val="32"/>
          <w:szCs w:val="32"/>
        </w:rPr>
      </w:pPr>
      <w:bookmarkStart w:id="5" w:name="_GoBack"/>
      <w:bookmarkEnd w:id="5"/>
      <w:r>
        <w:rPr>
          <w:rFonts w:hint="eastAsia" w:ascii="仿宋_GB2312" w:hAnsi="仿宋" w:eastAsia="仿宋_GB2312"/>
          <w:b/>
          <w:color w:val="auto"/>
          <w:sz w:val="32"/>
          <w:szCs w:val="32"/>
        </w:rPr>
        <w:t>天津市消防救援总队综合性战勤保障基地厨房设施项目（项目编号：</w:t>
      </w:r>
      <w:r>
        <w:rPr>
          <w:rFonts w:ascii="仿宋_GB2312" w:hAnsi="仿宋" w:eastAsia="仿宋_GB2312"/>
          <w:b/>
          <w:color w:val="auto"/>
          <w:sz w:val="32"/>
          <w:szCs w:val="32"/>
        </w:rPr>
        <w:t>TGPC-2026-A-0342</w:t>
      </w:r>
      <w:r>
        <w:rPr>
          <w:rFonts w:hint="eastAsia" w:ascii="仿宋_GB2312" w:hAnsi="仿宋" w:eastAsia="仿宋_GB2312"/>
          <w:b/>
          <w:color w:val="auto"/>
          <w:sz w:val="32"/>
          <w:szCs w:val="32"/>
        </w:rPr>
        <w:t>）公开招标公告</w:t>
      </w:r>
    </w:p>
    <w:p w14:paraId="58209EFE">
      <w:pPr>
        <w:pStyle w:val="23"/>
        <w:spacing w:line="360" w:lineRule="auto"/>
        <w:ind w:firstLine="480" w:firstLineChars="200"/>
        <w:jc w:val="both"/>
        <w:rPr>
          <w:rFonts w:ascii="Times New Roman" w:hAnsi="Times New Roman" w:cs="Times New Roman" w:eastAsiaTheme="minorEastAsia"/>
          <w:color w:val="auto"/>
          <w:szCs w:val="32"/>
        </w:rPr>
      </w:pPr>
      <w:r>
        <w:rPr>
          <w:rFonts w:ascii="Times New Roman" w:hAnsi="Times New Roman" w:cs="Times New Roman" w:eastAsiaTheme="minorEastAsia"/>
          <w:color w:val="auto"/>
          <w:szCs w:val="32"/>
        </w:rPr>
        <w:t>受</w:t>
      </w:r>
      <w:r>
        <w:rPr>
          <w:rFonts w:hint="eastAsia" w:ascii="Times New Roman" w:hAnsi="Times New Roman" w:cs="Times New Roman" w:eastAsiaTheme="minorEastAsia"/>
          <w:color w:val="auto"/>
          <w:szCs w:val="32"/>
        </w:rPr>
        <w:t>天津市消防救援总队</w:t>
      </w:r>
      <w:r>
        <w:rPr>
          <w:rFonts w:ascii="Times New Roman" w:hAnsi="Times New Roman" w:cs="Times New Roman" w:eastAsiaTheme="minorEastAsia"/>
          <w:color w:val="auto"/>
          <w:szCs w:val="32"/>
        </w:rPr>
        <w:t>委托，天津市政府采购中心对</w:t>
      </w:r>
      <w:r>
        <w:rPr>
          <w:rFonts w:hint="eastAsia" w:ascii="Times New Roman" w:hAnsi="Times New Roman" w:cs="Times New Roman" w:eastAsiaTheme="minorEastAsia"/>
          <w:color w:val="auto"/>
          <w:szCs w:val="32"/>
        </w:rPr>
        <w:t>天津市消防救援总队综合性战勤保障基地厨房设施项目</w:t>
      </w:r>
      <w:r>
        <w:rPr>
          <w:rFonts w:ascii="Times New Roman" w:hAnsi="Times New Roman" w:cs="Times New Roman" w:eastAsiaTheme="minorEastAsia"/>
          <w:color w:val="auto"/>
          <w:szCs w:val="32"/>
        </w:rPr>
        <w:t>实施采购。现欢迎合格的供应商参加投标。</w:t>
      </w:r>
    </w:p>
    <w:p w14:paraId="1D7CBF9B">
      <w:pPr>
        <w:pStyle w:val="23"/>
        <w:spacing w:line="360" w:lineRule="auto"/>
        <w:ind w:firstLine="480" w:firstLineChars="200"/>
        <w:jc w:val="both"/>
        <w:rPr>
          <w:rFonts w:ascii="Times New Roman" w:hAnsi="Times New Roman" w:cs="Times New Roman" w:eastAsiaTheme="minorEastAsia"/>
          <w:color w:val="auto"/>
          <w:szCs w:val="32"/>
        </w:rPr>
      </w:pPr>
      <w:r>
        <w:rPr>
          <w:rFonts w:hint="eastAsia" w:ascii="Times New Roman" w:hAnsi="Times New Roman" w:cs="Times New Roman" w:eastAsiaTheme="minorEastAsia"/>
          <w:color w:val="auto"/>
          <w:szCs w:val="32"/>
        </w:rPr>
        <w:t>本项目为远程招投标，一律不接受纸质投标文件，只接受加盖投标人电子签章的电子投标文件（以通过天津公共资源电子签章客户端正确读取签章信息为准）。供应商参加投标前须办理CA数字证书（USBKey）和电子签章。投标人须按招标文件的规定在天津市政府采购中心招投标系统中提交网上应答并上传加盖投标人电子签章的电子投标文件（以通过天津公共资源电子签章客户端正确读取签章信息为准）。</w:t>
      </w:r>
      <w:r>
        <w:rPr>
          <w:rFonts w:hint="eastAsia" w:ascii="Times New Roman" w:hAnsi="Times New Roman" w:eastAsia="宋体" w:cs="Times New Roman"/>
          <w:color w:val="auto"/>
          <w:szCs w:val="32"/>
        </w:rPr>
        <w:t>投标文件加盖1个有效电子签章即视同所有页均已盖章。</w:t>
      </w:r>
    </w:p>
    <w:p w14:paraId="7234264A">
      <w:pPr>
        <w:pStyle w:val="23"/>
        <w:spacing w:line="360" w:lineRule="auto"/>
        <w:ind w:firstLine="480" w:firstLineChars="200"/>
        <w:jc w:val="both"/>
        <w:rPr>
          <w:rFonts w:ascii="Times New Roman" w:hAnsi="Times New Roman" w:cs="Times New Roman" w:eastAsiaTheme="minorEastAsia"/>
          <w:color w:val="auto"/>
          <w:szCs w:val="32"/>
        </w:rPr>
      </w:pPr>
      <w:r>
        <w:rPr>
          <w:rFonts w:ascii="Times New Roman" w:hAnsi="Times New Roman" w:cs="Times New Roman" w:eastAsiaTheme="minorEastAsia"/>
          <w:color w:val="auto"/>
          <w:szCs w:val="32"/>
        </w:rPr>
        <w:t>一、基本概况</w:t>
      </w:r>
    </w:p>
    <w:p w14:paraId="66A763FA">
      <w:pPr>
        <w:pStyle w:val="23"/>
        <w:spacing w:line="360" w:lineRule="auto"/>
        <w:ind w:firstLine="480" w:firstLineChars="200"/>
        <w:jc w:val="both"/>
        <w:rPr>
          <w:rFonts w:ascii="Times New Roman" w:hAnsi="Times New Roman" w:cs="Times New Roman" w:eastAsiaTheme="minorEastAsia"/>
          <w:color w:val="auto"/>
          <w:szCs w:val="32"/>
        </w:rPr>
      </w:pPr>
      <w:r>
        <w:rPr>
          <w:rFonts w:ascii="Times New Roman" w:hAnsi="Times New Roman" w:cs="Times New Roman" w:eastAsiaTheme="minorEastAsia"/>
          <w:color w:val="auto"/>
          <w:szCs w:val="32"/>
        </w:rPr>
        <w:t>（一）项目名称：</w:t>
      </w:r>
      <w:r>
        <w:rPr>
          <w:rFonts w:hint="eastAsia" w:ascii="Times New Roman" w:hAnsi="Times New Roman" w:cs="Times New Roman" w:eastAsiaTheme="minorEastAsia"/>
          <w:color w:val="auto"/>
          <w:szCs w:val="32"/>
        </w:rPr>
        <w:t>天津市消防救援总队综合性战勤保障基地厨房设施项目</w:t>
      </w:r>
    </w:p>
    <w:p w14:paraId="791113AA">
      <w:pPr>
        <w:pStyle w:val="23"/>
        <w:spacing w:line="360" w:lineRule="auto"/>
        <w:ind w:firstLine="480" w:firstLineChars="200"/>
        <w:jc w:val="both"/>
        <w:rPr>
          <w:rFonts w:ascii="Times New Roman" w:hAnsi="Times New Roman" w:cs="Times New Roman" w:eastAsiaTheme="minorEastAsia"/>
          <w:color w:val="auto"/>
          <w:szCs w:val="32"/>
        </w:rPr>
      </w:pPr>
      <w:r>
        <w:rPr>
          <w:rFonts w:ascii="Times New Roman" w:hAnsi="Times New Roman" w:cs="Times New Roman" w:eastAsiaTheme="minorEastAsia"/>
          <w:color w:val="auto"/>
          <w:szCs w:val="32"/>
        </w:rPr>
        <w:t>（二）项目编号：TGPC-202</w:t>
      </w:r>
      <w:r>
        <w:rPr>
          <w:rFonts w:hint="eastAsia" w:ascii="Times New Roman" w:hAnsi="Times New Roman" w:cs="Times New Roman" w:eastAsiaTheme="minorEastAsia"/>
          <w:color w:val="auto"/>
          <w:szCs w:val="32"/>
        </w:rPr>
        <w:t>6</w:t>
      </w:r>
      <w:r>
        <w:rPr>
          <w:rFonts w:ascii="Times New Roman" w:hAnsi="Times New Roman" w:cs="Times New Roman" w:eastAsiaTheme="minorEastAsia"/>
          <w:color w:val="auto"/>
          <w:szCs w:val="32"/>
        </w:rPr>
        <w:t>-</w:t>
      </w:r>
      <w:r>
        <w:rPr>
          <w:rFonts w:hint="eastAsia" w:ascii="Times New Roman" w:hAnsi="Times New Roman" w:cs="Times New Roman" w:eastAsiaTheme="minorEastAsia"/>
          <w:color w:val="auto"/>
          <w:szCs w:val="32"/>
        </w:rPr>
        <w:t>A</w:t>
      </w:r>
      <w:r>
        <w:rPr>
          <w:rFonts w:ascii="Times New Roman" w:hAnsi="Times New Roman" w:cs="Times New Roman" w:eastAsiaTheme="minorEastAsia"/>
          <w:color w:val="auto"/>
          <w:szCs w:val="32"/>
        </w:rPr>
        <w:t>-0</w:t>
      </w:r>
      <w:r>
        <w:rPr>
          <w:rFonts w:hint="eastAsia" w:ascii="Times New Roman" w:hAnsi="Times New Roman" w:cs="Times New Roman" w:eastAsiaTheme="minorEastAsia"/>
          <w:color w:val="auto"/>
          <w:szCs w:val="32"/>
        </w:rPr>
        <w:t>342</w:t>
      </w:r>
    </w:p>
    <w:p w14:paraId="19C12ADE">
      <w:pPr>
        <w:pStyle w:val="23"/>
        <w:spacing w:line="360" w:lineRule="auto"/>
        <w:ind w:firstLine="480" w:firstLineChars="200"/>
        <w:jc w:val="both"/>
        <w:rPr>
          <w:rFonts w:ascii="Times New Roman" w:hAnsi="Times New Roman" w:cs="Times New Roman" w:eastAsiaTheme="minorEastAsia"/>
          <w:color w:val="auto"/>
          <w:szCs w:val="32"/>
        </w:rPr>
      </w:pPr>
      <w:r>
        <w:rPr>
          <w:rFonts w:hint="eastAsia" w:ascii="Times New Roman" w:hAnsi="Times New Roman" w:cs="Times New Roman" w:eastAsiaTheme="minorEastAsia"/>
          <w:color w:val="auto"/>
          <w:szCs w:val="32"/>
        </w:rPr>
        <w:t>（三）采购方式：公开招标</w:t>
      </w:r>
    </w:p>
    <w:p w14:paraId="0098B744">
      <w:pPr>
        <w:pStyle w:val="23"/>
        <w:spacing w:line="360" w:lineRule="auto"/>
        <w:ind w:firstLine="480" w:firstLineChars="200"/>
        <w:jc w:val="both"/>
        <w:rPr>
          <w:rFonts w:ascii="Times New Roman" w:hAnsi="Times New Roman" w:cs="Times New Roman" w:eastAsiaTheme="minorEastAsia"/>
          <w:color w:val="auto"/>
          <w:szCs w:val="32"/>
        </w:rPr>
      </w:pPr>
      <w:r>
        <w:rPr>
          <w:rFonts w:hint="eastAsia" w:ascii="Times New Roman" w:hAnsi="Times New Roman" w:cs="Times New Roman" w:eastAsiaTheme="minorEastAsia"/>
          <w:color w:val="auto"/>
          <w:szCs w:val="32"/>
        </w:rPr>
        <w:t>（四）项目属性：货物</w:t>
      </w:r>
    </w:p>
    <w:p w14:paraId="6B044A44">
      <w:pPr>
        <w:pStyle w:val="23"/>
        <w:spacing w:line="360" w:lineRule="auto"/>
        <w:ind w:firstLine="480" w:firstLineChars="200"/>
        <w:jc w:val="both"/>
        <w:rPr>
          <w:rFonts w:ascii="Times New Roman" w:hAnsi="Times New Roman" w:cs="Times New Roman" w:eastAsiaTheme="minorEastAsia"/>
          <w:color w:val="auto"/>
          <w:szCs w:val="32"/>
        </w:rPr>
      </w:pPr>
      <w:r>
        <w:rPr>
          <w:rFonts w:hint="eastAsia" w:ascii="Times New Roman" w:hAnsi="Times New Roman" w:cs="Times New Roman" w:eastAsiaTheme="minorEastAsia"/>
          <w:color w:val="auto"/>
          <w:szCs w:val="32"/>
        </w:rPr>
        <w:t>（五）本项目不接受联合体参与。不接受联合体参与的，若有供应商组成联合体参与，视为无效投标。</w:t>
      </w:r>
    </w:p>
    <w:p w14:paraId="7EBA1555">
      <w:pPr>
        <w:pStyle w:val="23"/>
        <w:spacing w:line="360" w:lineRule="auto"/>
        <w:ind w:firstLine="480" w:firstLineChars="200"/>
        <w:jc w:val="both"/>
        <w:rPr>
          <w:rFonts w:ascii="Times New Roman" w:hAnsi="Times New Roman" w:cs="Times New Roman" w:eastAsiaTheme="minorEastAsia"/>
          <w:color w:val="auto"/>
          <w:szCs w:val="32"/>
        </w:rPr>
      </w:pPr>
      <w:r>
        <w:rPr>
          <w:rFonts w:hint="eastAsia" w:ascii="Times New Roman" w:hAnsi="Times New Roman" w:cs="Times New Roman" w:eastAsiaTheme="minorEastAsia"/>
          <w:color w:val="auto"/>
          <w:szCs w:val="32"/>
        </w:rPr>
        <w:t>（六）本文件售价：免费。</w:t>
      </w:r>
    </w:p>
    <w:p w14:paraId="69A5DEF3">
      <w:pPr>
        <w:pStyle w:val="23"/>
        <w:spacing w:line="360" w:lineRule="auto"/>
        <w:ind w:firstLine="480" w:firstLineChars="200"/>
        <w:jc w:val="both"/>
        <w:rPr>
          <w:rFonts w:ascii="Times New Roman" w:hAnsi="Times New Roman" w:cs="Times New Roman" w:eastAsiaTheme="minorEastAsia"/>
          <w:i/>
          <w:iCs/>
          <w:color w:val="auto"/>
          <w:szCs w:val="32"/>
        </w:rPr>
      </w:pPr>
      <w:r>
        <w:rPr>
          <w:rFonts w:hint="eastAsia" w:ascii="Times New Roman" w:hAnsi="Times New Roman" w:cs="Times New Roman" w:eastAsiaTheme="minorEastAsia"/>
          <w:color w:val="auto"/>
          <w:szCs w:val="32"/>
        </w:rPr>
        <w:t>（七）本项目推荐1名中标候选人。</w:t>
      </w:r>
    </w:p>
    <w:p w14:paraId="30320171">
      <w:pPr>
        <w:pStyle w:val="23"/>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w:t>
      </w:r>
      <w:r>
        <w:rPr>
          <w:rFonts w:ascii="Times New Roman" w:hAnsi="Times New Roman" w:cs="Times New Roman" w:eastAsiaTheme="minorEastAsia"/>
          <w:color w:val="auto"/>
          <w:szCs w:val="32"/>
        </w:rPr>
        <w:t>项目内容</w:t>
      </w:r>
    </w:p>
    <w:tbl>
      <w:tblPr>
        <w:tblStyle w:val="20"/>
        <w:tblW w:w="92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5"/>
        <w:gridCol w:w="1385"/>
        <w:gridCol w:w="1815"/>
        <w:gridCol w:w="1947"/>
        <w:gridCol w:w="1735"/>
        <w:gridCol w:w="1389"/>
      </w:tblGrid>
      <w:tr w14:paraId="3A492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935" w:type="dxa"/>
            <w:vAlign w:val="center"/>
          </w:tcPr>
          <w:p w14:paraId="5167C82D">
            <w:pPr>
              <w:pStyle w:val="23"/>
              <w:snapToGrid w:val="0"/>
              <w:jc w:val="center"/>
              <w:rPr>
                <w:rFonts w:ascii="Times New Roman" w:hAnsi="Times New Roman" w:cs="Times New Roman" w:eastAsiaTheme="minorEastAsia"/>
                <w:color w:val="auto"/>
                <w:sz w:val="21"/>
                <w:szCs w:val="21"/>
              </w:rPr>
            </w:pPr>
            <w:r>
              <w:rPr>
                <w:rFonts w:hint="eastAsia" w:ascii="Times New Roman" w:hAnsi="Times New Roman" w:cs="Times New Roman" w:eastAsiaTheme="minorEastAsia"/>
                <w:color w:val="auto"/>
                <w:sz w:val="21"/>
                <w:szCs w:val="21"/>
              </w:rPr>
              <w:t>包号</w:t>
            </w:r>
          </w:p>
        </w:tc>
        <w:tc>
          <w:tcPr>
            <w:tcW w:w="1385" w:type="dxa"/>
            <w:vAlign w:val="center"/>
          </w:tcPr>
          <w:p w14:paraId="6E37F706">
            <w:pPr>
              <w:pStyle w:val="23"/>
              <w:snapToGrid w:val="0"/>
              <w:jc w:val="center"/>
              <w:rPr>
                <w:rFonts w:ascii="Times New Roman" w:hAnsi="Times New Roman" w:cs="Times New Roman" w:eastAsiaTheme="minorEastAsia"/>
                <w:color w:val="auto"/>
                <w:sz w:val="21"/>
                <w:szCs w:val="21"/>
              </w:rPr>
            </w:pPr>
            <w:r>
              <w:rPr>
                <w:rFonts w:hint="eastAsia" w:ascii="Times New Roman" w:hAnsi="Times New Roman" w:cs="Times New Roman" w:eastAsiaTheme="minorEastAsia"/>
                <w:color w:val="auto"/>
                <w:sz w:val="21"/>
                <w:szCs w:val="21"/>
              </w:rPr>
              <w:t>包名称</w:t>
            </w:r>
          </w:p>
        </w:tc>
        <w:tc>
          <w:tcPr>
            <w:tcW w:w="1815" w:type="dxa"/>
            <w:vAlign w:val="center"/>
          </w:tcPr>
          <w:p w14:paraId="75823018">
            <w:pPr>
              <w:pStyle w:val="23"/>
              <w:snapToGrid w:val="0"/>
              <w:jc w:val="center"/>
              <w:rPr>
                <w:rFonts w:ascii="Times New Roman" w:hAnsi="Times New Roman" w:cs="Times New Roman" w:eastAsiaTheme="minorEastAsia"/>
                <w:color w:val="auto"/>
                <w:sz w:val="21"/>
                <w:szCs w:val="21"/>
              </w:rPr>
            </w:pPr>
            <w:r>
              <w:rPr>
                <w:rFonts w:hint="eastAsia" w:ascii="Times New Roman" w:hAnsi="Times New Roman" w:cs="Times New Roman" w:eastAsiaTheme="minorEastAsia"/>
                <w:color w:val="auto"/>
                <w:sz w:val="21"/>
                <w:szCs w:val="21"/>
              </w:rPr>
              <w:t>包预算</w:t>
            </w:r>
          </w:p>
        </w:tc>
        <w:tc>
          <w:tcPr>
            <w:tcW w:w="1947" w:type="dxa"/>
            <w:vAlign w:val="center"/>
          </w:tcPr>
          <w:p w14:paraId="2D8EB1E9">
            <w:pPr>
              <w:pStyle w:val="23"/>
              <w:snapToGrid w:val="0"/>
              <w:jc w:val="center"/>
              <w:rPr>
                <w:rFonts w:ascii="Times New Roman" w:hAnsi="Times New Roman" w:cs="Times New Roman" w:eastAsiaTheme="minorEastAsia"/>
                <w:color w:val="auto"/>
                <w:sz w:val="21"/>
                <w:szCs w:val="21"/>
              </w:rPr>
            </w:pPr>
            <w:r>
              <w:rPr>
                <w:rFonts w:hint="eastAsia" w:ascii="Times New Roman" w:hAnsi="Times New Roman" w:cs="Times New Roman" w:eastAsiaTheme="minorEastAsia"/>
                <w:color w:val="auto"/>
                <w:sz w:val="21"/>
                <w:szCs w:val="21"/>
              </w:rPr>
              <w:t>包最高限价</w:t>
            </w:r>
          </w:p>
        </w:tc>
        <w:tc>
          <w:tcPr>
            <w:tcW w:w="1735" w:type="dxa"/>
            <w:vAlign w:val="center"/>
          </w:tcPr>
          <w:p w14:paraId="0CB62EE6">
            <w:pPr>
              <w:pStyle w:val="23"/>
              <w:snapToGrid w:val="0"/>
              <w:jc w:val="center"/>
              <w:rPr>
                <w:rFonts w:ascii="Times New Roman" w:hAnsi="Times New Roman" w:cs="Times New Roman" w:eastAsiaTheme="minorEastAsia"/>
                <w:color w:val="auto"/>
                <w:sz w:val="21"/>
                <w:szCs w:val="21"/>
              </w:rPr>
            </w:pPr>
            <w:r>
              <w:rPr>
                <w:rFonts w:hint="eastAsia" w:ascii="Times New Roman" w:hAnsi="Times New Roman" w:cs="Times New Roman" w:eastAsiaTheme="minorEastAsia"/>
                <w:color w:val="auto"/>
                <w:sz w:val="21"/>
                <w:szCs w:val="21"/>
              </w:rPr>
              <w:t>合同履行期限</w:t>
            </w:r>
          </w:p>
        </w:tc>
        <w:tc>
          <w:tcPr>
            <w:tcW w:w="1389" w:type="dxa"/>
            <w:vAlign w:val="center"/>
          </w:tcPr>
          <w:p w14:paraId="4158B444">
            <w:pPr>
              <w:pStyle w:val="23"/>
              <w:snapToGrid w:val="0"/>
              <w:jc w:val="center"/>
              <w:rPr>
                <w:rFonts w:ascii="Times New Roman" w:hAnsi="Times New Roman" w:cs="Times New Roman" w:eastAsiaTheme="minorEastAsia"/>
                <w:color w:val="auto"/>
                <w:sz w:val="21"/>
                <w:szCs w:val="21"/>
              </w:rPr>
            </w:pPr>
            <w:r>
              <w:rPr>
                <w:rFonts w:hint="eastAsia" w:ascii="Times New Roman" w:hAnsi="Times New Roman" w:cs="Times New Roman" w:eastAsiaTheme="minorEastAsia"/>
                <w:color w:val="auto"/>
                <w:sz w:val="21"/>
                <w:szCs w:val="21"/>
              </w:rPr>
              <w:t>所属行业</w:t>
            </w:r>
          </w:p>
        </w:tc>
      </w:tr>
      <w:tr w14:paraId="2E476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5" w:type="dxa"/>
            <w:vAlign w:val="center"/>
          </w:tcPr>
          <w:p w14:paraId="2540FCB8">
            <w:pPr>
              <w:pStyle w:val="23"/>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1385" w:type="dxa"/>
            <w:vAlign w:val="center"/>
          </w:tcPr>
          <w:p w14:paraId="68E8E6E2">
            <w:pPr>
              <w:pStyle w:val="23"/>
              <w:snapToGrid w:val="0"/>
              <w:jc w:val="center"/>
              <w:rPr>
                <w:rFonts w:ascii="Times New Roman" w:hAnsi="Times New Roman" w:eastAsia="宋体" w:cs="Times New Roman"/>
                <w:color w:val="auto"/>
                <w:sz w:val="21"/>
                <w:szCs w:val="21"/>
              </w:rPr>
            </w:pPr>
            <w:r>
              <w:rPr>
                <w:rFonts w:hint="eastAsia" w:ascii="Times New Roman" w:hAnsi="Times New Roman" w:cs="Times New Roman" w:eastAsiaTheme="minorEastAsia"/>
                <w:color w:val="auto"/>
                <w:szCs w:val="32"/>
              </w:rPr>
              <w:t>厨房设施</w:t>
            </w:r>
          </w:p>
        </w:tc>
        <w:tc>
          <w:tcPr>
            <w:tcW w:w="1815" w:type="dxa"/>
            <w:vAlign w:val="center"/>
          </w:tcPr>
          <w:p w14:paraId="79EF6A42">
            <w:pPr>
              <w:pStyle w:val="23"/>
              <w:snapToGrid w:val="0"/>
              <w:jc w:val="center"/>
              <w:rPr>
                <w:rFonts w:ascii="Times New Roman" w:hAnsi="Times New Roman" w:eastAsia="宋体" w:cs="Times New Roman"/>
                <w:color w:val="auto"/>
                <w:sz w:val="21"/>
                <w:szCs w:val="21"/>
              </w:rPr>
            </w:pPr>
            <w:r>
              <w:rPr>
                <w:rFonts w:ascii="Times New Roman" w:hAnsi="Times New Roman" w:cs="Times New Roman" w:eastAsiaTheme="minorEastAsia"/>
                <w:color w:val="auto"/>
                <w:sz w:val="21"/>
                <w:szCs w:val="21"/>
              </w:rPr>
              <w:t>730585</w:t>
            </w:r>
            <w:r>
              <w:rPr>
                <w:rFonts w:hint="eastAsia" w:ascii="Times New Roman" w:hAnsi="Times New Roman" w:cs="Times New Roman" w:eastAsiaTheme="minorEastAsia"/>
                <w:color w:val="auto"/>
                <w:sz w:val="21"/>
                <w:szCs w:val="21"/>
              </w:rPr>
              <w:t>元</w:t>
            </w:r>
            <w:r>
              <w:rPr>
                <w:rFonts w:ascii="Times New Roman" w:hAnsi="Times New Roman" w:eastAsia="宋体" w:cs="Times New Roman"/>
                <w:color w:val="auto"/>
                <w:sz w:val="21"/>
                <w:szCs w:val="21"/>
              </w:rPr>
              <w:t xml:space="preserve"> </w:t>
            </w:r>
          </w:p>
        </w:tc>
        <w:tc>
          <w:tcPr>
            <w:tcW w:w="1947" w:type="dxa"/>
            <w:vAlign w:val="center"/>
          </w:tcPr>
          <w:p w14:paraId="7483D02F">
            <w:pPr>
              <w:pStyle w:val="23"/>
              <w:snapToGrid w:val="0"/>
              <w:jc w:val="center"/>
              <w:rPr>
                <w:rFonts w:ascii="Times New Roman" w:hAnsi="Times New Roman" w:eastAsia="宋体" w:cs="Times New Roman"/>
                <w:color w:val="auto"/>
                <w:sz w:val="21"/>
                <w:szCs w:val="21"/>
              </w:rPr>
            </w:pPr>
            <w:r>
              <w:rPr>
                <w:rFonts w:ascii="Times New Roman" w:hAnsi="Times New Roman" w:cs="Times New Roman" w:eastAsiaTheme="minorEastAsia"/>
                <w:color w:val="auto"/>
                <w:sz w:val="21"/>
                <w:szCs w:val="21"/>
              </w:rPr>
              <w:t>730585</w:t>
            </w:r>
            <w:r>
              <w:rPr>
                <w:rFonts w:hint="eastAsia" w:ascii="Times New Roman" w:hAnsi="Times New Roman" w:cs="Times New Roman" w:eastAsiaTheme="minorEastAsia"/>
                <w:color w:val="auto"/>
                <w:sz w:val="21"/>
                <w:szCs w:val="21"/>
              </w:rPr>
              <w:t>元</w:t>
            </w:r>
          </w:p>
        </w:tc>
        <w:tc>
          <w:tcPr>
            <w:tcW w:w="1735" w:type="dxa"/>
            <w:vAlign w:val="center"/>
          </w:tcPr>
          <w:p w14:paraId="091BED62">
            <w:pPr>
              <w:pStyle w:val="23"/>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合同签订起30日内完成供货</w:t>
            </w:r>
          </w:p>
        </w:tc>
        <w:tc>
          <w:tcPr>
            <w:tcW w:w="1389" w:type="dxa"/>
            <w:vAlign w:val="center"/>
          </w:tcPr>
          <w:p w14:paraId="54B0AE24">
            <w:pPr>
              <w:pStyle w:val="23"/>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工业</w:t>
            </w:r>
          </w:p>
        </w:tc>
      </w:tr>
    </w:tbl>
    <w:p w14:paraId="2B1DF97F">
      <w:pPr>
        <w:tabs>
          <w:tab w:val="left" w:pos="210"/>
        </w:tabs>
        <w:autoSpaceDE w:val="0"/>
        <w:autoSpaceDN w:val="0"/>
        <w:adjustRightInd w:val="0"/>
        <w:spacing w:line="360" w:lineRule="auto"/>
        <w:ind w:firstLine="480" w:firstLineChars="200"/>
        <w:outlineLvl w:val="0"/>
        <w:rPr>
          <w:strike/>
          <w:sz w:val="24"/>
          <w:szCs w:val="24"/>
        </w:rPr>
      </w:pPr>
      <w:r>
        <w:rPr>
          <w:sz w:val="24"/>
          <w:szCs w:val="24"/>
          <w:lang w:val="zh-CN"/>
        </w:rPr>
        <w:t>本项目</w:t>
      </w:r>
      <w:r>
        <w:rPr>
          <w:rFonts w:hint="eastAsia"/>
          <w:sz w:val="24"/>
          <w:szCs w:val="24"/>
          <w:lang w:val="zh-CN"/>
        </w:rPr>
        <w:t>不接受进口产品投标。</w:t>
      </w:r>
    </w:p>
    <w:p w14:paraId="76913B1E">
      <w:pPr>
        <w:pStyle w:val="23"/>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w:t>
      </w:r>
      <w:r>
        <w:rPr>
          <w:rFonts w:ascii="Times New Roman" w:hAnsi="Times New Roman" w:eastAsia="宋体" w:cs="Times New Roman"/>
          <w:color w:val="auto"/>
        </w:rPr>
        <w:t>、</w:t>
      </w:r>
      <w:r>
        <w:rPr>
          <w:rFonts w:ascii="Times New Roman" w:hAnsi="Times New Roman" w:cs="Times New Roman" w:eastAsiaTheme="minorEastAsia"/>
          <w:color w:val="auto"/>
          <w:szCs w:val="32"/>
        </w:rPr>
        <w:t>供应商资格要求（实质性要求）</w:t>
      </w:r>
    </w:p>
    <w:p w14:paraId="7F3C65A5">
      <w:pPr>
        <w:pStyle w:val="23"/>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（一）供应商应具备《中华人民共和国政府采购法》第二十二条第一款和《中华人民共和国政府采购法实施条例》第十八条规定的条件，提供以下材料：</w:t>
      </w:r>
    </w:p>
    <w:p w14:paraId="3A5377D0">
      <w:pPr>
        <w:pStyle w:val="23"/>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 营业执照副本或事业单位法人证书或民办非企业单位登记证书或社会团体法人登记证书或基金会法人登记证书电子件或自然人的身份证明电子件。</w:t>
      </w:r>
    </w:p>
    <w:p w14:paraId="095E80CA">
      <w:pPr>
        <w:pStyle w:val="23"/>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提供《供应商资格声明函》（格式见附件2）</w:t>
      </w:r>
    </w:p>
    <w:p w14:paraId="30D0DE52">
      <w:pPr>
        <w:pStyle w:val="23"/>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w:t>
      </w:r>
      <w:r>
        <w:rPr>
          <w:rFonts w:ascii="Times New Roman" w:hAnsi="Times New Roman" w:eastAsia="宋体" w:cs="Times New Roman"/>
          <w:color w:val="auto"/>
        </w:rPr>
        <w:t>、项目需要落实的政府采购政策</w:t>
      </w:r>
    </w:p>
    <w:p w14:paraId="39AFAA12">
      <w:pPr>
        <w:pStyle w:val="23"/>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（一）全部货物均由小微企业制造的，对符合规定的小微企业制造的产品报价给予10%的扣除。货物既有小微企业制造的货物，也有大中企业制造的货物，不享受此扶持政策。</w:t>
      </w:r>
    </w:p>
    <w:p w14:paraId="736AA7C0">
      <w:pPr>
        <w:pStyle w:val="23"/>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（二）根据财政部发布的《关于政府采购支持监狱企业发展有关问题的通知》规定，监狱企业视同小微企业。</w:t>
      </w:r>
    </w:p>
    <w:p w14:paraId="2E6F069C">
      <w:pPr>
        <w:pStyle w:val="23"/>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（三）根据财政部、民政部、中国残疾人联合会发布的《关于促进残疾人就业政府采购政策的通知》规定，残疾人福利性单位视同小微企业。</w:t>
      </w:r>
    </w:p>
    <w:p w14:paraId="4828B03E">
      <w:pPr>
        <w:pStyle w:val="23"/>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7FB82159">
      <w:pPr>
        <w:pStyle w:val="23"/>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四）涉及商品包装或快递包装的，按照《财政部办公厅、生态环境部办公厅、国家邮政局办公室关于印发&lt;商品包装政府采购需求标准（试行）&gt;、&lt;快递包装政府采购需求标准（试行）&gt;的通知》（财办库〔2020〕123号）要求执行。</w:t>
      </w:r>
    </w:p>
    <w:p w14:paraId="7739C744">
      <w:pPr>
        <w:pStyle w:val="23"/>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五）按照《财政部关于在政府采购活动中查询及使用信用记录有关问题的通知》（财库〔2016〕125号）的要求，根据开标当日解密截止时间“信用中国”网站（www.creditchina.gov.cn）、中国政府采购网（www.ccgp.gov.cn）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14:paraId="169A2D9B">
      <w:pPr>
        <w:pStyle w:val="23"/>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（六）</w:t>
      </w:r>
      <w:bookmarkStart w:id="0" w:name="OLE_LINK2"/>
      <w:bookmarkStart w:id="1" w:name="OLE_LINK3"/>
      <w:bookmarkStart w:id="2" w:name="OLE_LINK1"/>
      <w:r>
        <w:rPr>
          <w:rFonts w:ascii="Times New Roman" w:hAnsi="Times New Roman" w:eastAsia="宋体" w:cs="Times New Roman"/>
          <w:color w:val="auto"/>
        </w:rPr>
        <w:t>按照《关于调整优化节能产品、环境标志产品政府采购执行机制的通知》（财库〔2019〕9号）、《关于印发环境标志产品政府采购品目清单的通知》</w:t>
      </w:r>
      <w:bookmarkStart w:id="3" w:name="OLE_LINK4"/>
      <w:bookmarkStart w:id="4" w:name="OLE_LINK5"/>
      <w:r>
        <w:rPr>
          <w:rFonts w:ascii="Times New Roman" w:hAnsi="Times New Roman" w:eastAsia="宋体" w:cs="Times New Roman"/>
          <w:color w:val="auto"/>
        </w:rPr>
        <w:t>（财库〔2019〕18号）</w:t>
      </w:r>
      <w:bookmarkEnd w:id="3"/>
      <w:bookmarkEnd w:id="4"/>
      <w:r>
        <w:rPr>
          <w:rFonts w:ascii="Times New Roman" w:hAnsi="Times New Roman" w:eastAsia="宋体" w:cs="Times New Roman"/>
          <w:color w:val="auto"/>
        </w:rPr>
        <w:t>、《关于印发节能产品政府采购品目清单的通知》（财库〔2019〕19号）、《市场监管总局关于发布参与实施政府采购节能产品、环境标志产品认证机构名录的公告》（2019年第16号）等文件要求，对政府采购节能、环境标志品目清单内的产品实施优先采购和强制采购的评标方法。</w:t>
      </w:r>
      <w:bookmarkEnd w:id="0"/>
      <w:bookmarkEnd w:id="1"/>
      <w:bookmarkEnd w:id="2"/>
    </w:p>
    <w:p w14:paraId="5E25E34A">
      <w:pPr>
        <w:pStyle w:val="23"/>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七）既有本国产品又有非本国产品参与竞争的，对本国产品的报价给予20%的价格扣除。当采购项目或者采购包中含有多种产品，供应商为该采购项目或者采购包提供的符合本国产品标准的产品成本之和占该供应商提供的全部产品成本之和的比例达到80%以上时，对该供应商提供的全部产品的总报价给予20%的价格扣除。</w:t>
      </w:r>
    </w:p>
    <w:p w14:paraId="7AEABECE">
      <w:pPr>
        <w:pStyle w:val="23"/>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（八）根据《关于推动解决政府采购异常低价问题的通知》（财库〔2026〕2号）的要求，当供应商报价出现以下情形之一时，评标委员会应当启动对该供应商的异常低价审查程序：</w:t>
      </w:r>
    </w:p>
    <w:p w14:paraId="4E567376">
      <w:pPr>
        <w:pStyle w:val="23"/>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 供应商报价&lt;全部通过符合性审查供应商报价平均值×50%；</w:t>
      </w:r>
    </w:p>
    <w:p w14:paraId="11C2DF74">
      <w:pPr>
        <w:pStyle w:val="23"/>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 供应商报价&lt;通过符合性审查的次低供应商报价×50%；</w:t>
      </w:r>
    </w:p>
    <w:p w14:paraId="34A57FA6">
      <w:pPr>
        <w:pStyle w:val="23"/>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 供应商报价&lt;最高限价×45%；</w:t>
      </w:r>
    </w:p>
    <w:p w14:paraId="6D13AF82">
      <w:pPr>
        <w:pStyle w:val="23"/>
        <w:spacing w:line="360" w:lineRule="auto"/>
        <w:ind w:firstLine="480" w:firstLineChars="200"/>
        <w:rPr>
          <w:rFonts w:ascii="Times New Roman" w:hAnsi="Times New Roman" w:eastAsia="宋体"/>
          <w:color w:val="auto"/>
        </w:rPr>
      </w:pPr>
      <w:r>
        <w:rPr>
          <w:rFonts w:hint="eastAsia" w:ascii="Times New Roman" w:hAnsi="Times New Roman" w:eastAsia="宋体" w:cs="Times New Roman"/>
          <w:color w:val="auto"/>
        </w:rPr>
        <w:t>4. 评标委员会基于专业判断，认为供应商报价过低，有可能影响产品质量或者不能诚信履约的其他情形。</w:t>
      </w:r>
    </w:p>
    <w:p w14:paraId="4D5F811E">
      <w:pPr>
        <w:pStyle w:val="23"/>
        <w:spacing w:line="360" w:lineRule="auto"/>
        <w:ind w:firstLine="480" w:firstLineChars="200"/>
        <w:rPr>
          <w:rFonts w:ascii="Times New Roman" w:hAnsi="Times New Roman" w:eastAsia="宋体"/>
          <w:color w:val="auto"/>
        </w:rPr>
      </w:pPr>
      <w:r>
        <w:rPr>
          <w:rFonts w:hint="eastAsia" w:ascii="Times New Roman" w:hAnsi="Times New Roman" w:eastAsia="宋体"/>
          <w:color w:val="auto"/>
        </w:rPr>
        <w:t>五、参与本项目的步骤、时间与方式</w:t>
      </w:r>
    </w:p>
    <w:p w14:paraId="774990F7">
      <w:pPr>
        <w:pStyle w:val="23"/>
        <w:spacing w:line="360" w:lineRule="auto"/>
        <w:ind w:firstLine="480" w:firstLineChars="200"/>
        <w:rPr>
          <w:rFonts w:ascii="Times New Roman" w:hAnsi="Times New Roman" w:eastAsia="宋体"/>
          <w:color w:val="auto"/>
        </w:rPr>
      </w:pPr>
      <w:r>
        <w:rPr>
          <w:rFonts w:hint="eastAsia" w:ascii="Times New Roman" w:hAnsi="Times New Roman" w:eastAsia="宋体"/>
          <w:color w:val="auto"/>
        </w:rPr>
        <w:t>（一）</w:t>
      </w:r>
      <w:r>
        <w:rPr>
          <w:rFonts w:hint="eastAsia" w:ascii="Times New Roman" w:hAnsi="Times New Roman" w:cs="Times New Roman" w:eastAsiaTheme="minorEastAsia"/>
          <w:color w:val="auto"/>
          <w:szCs w:val="32"/>
        </w:rPr>
        <w:t>参与本项目的时间要求</w:t>
      </w:r>
    </w:p>
    <w:tbl>
      <w:tblPr>
        <w:tblStyle w:val="20"/>
        <w:tblW w:w="9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941"/>
        <w:gridCol w:w="1891"/>
        <w:gridCol w:w="2127"/>
        <w:gridCol w:w="2868"/>
      </w:tblGrid>
      <w:tr w14:paraId="5EA41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79" w:type="dxa"/>
            <w:vAlign w:val="center"/>
          </w:tcPr>
          <w:p w14:paraId="0D05930D">
            <w:pPr>
              <w:pStyle w:val="23"/>
              <w:snapToGrid w:val="0"/>
              <w:jc w:val="center"/>
              <w:rPr>
                <w:rFonts w:ascii="Times New Roman" w:hAnsi="Times New Roman" w:cs="Times New Roman" w:eastAsiaTheme="minorEastAsia"/>
                <w:color w:val="auto"/>
                <w:sz w:val="21"/>
                <w:szCs w:val="21"/>
              </w:rPr>
            </w:pPr>
            <w:r>
              <w:rPr>
                <w:rFonts w:hint="eastAsia" w:ascii="Times New Roman" w:hAnsi="Times New Roman" w:cs="Times New Roman" w:eastAsiaTheme="minorEastAsia"/>
                <w:color w:val="auto"/>
                <w:sz w:val="21"/>
                <w:szCs w:val="21"/>
              </w:rPr>
              <w:t>序号</w:t>
            </w:r>
          </w:p>
        </w:tc>
        <w:tc>
          <w:tcPr>
            <w:tcW w:w="1941" w:type="dxa"/>
            <w:vAlign w:val="center"/>
          </w:tcPr>
          <w:p w14:paraId="5484E34B">
            <w:pPr>
              <w:pStyle w:val="23"/>
              <w:snapToGrid w:val="0"/>
              <w:jc w:val="center"/>
              <w:rPr>
                <w:rFonts w:ascii="Times New Roman" w:hAnsi="Times New Roman" w:cs="Times New Roman" w:eastAsiaTheme="minorEastAsia"/>
                <w:color w:val="auto"/>
                <w:sz w:val="21"/>
                <w:szCs w:val="21"/>
              </w:rPr>
            </w:pPr>
            <w:r>
              <w:rPr>
                <w:rFonts w:hint="eastAsia" w:ascii="Times New Roman" w:hAnsi="Times New Roman" w:cs="Times New Roman" w:eastAsiaTheme="minorEastAsia"/>
                <w:color w:val="auto"/>
                <w:sz w:val="21"/>
                <w:szCs w:val="21"/>
              </w:rPr>
              <w:t>步骤名称</w:t>
            </w:r>
          </w:p>
        </w:tc>
        <w:tc>
          <w:tcPr>
            <w:tcW w:w="1891" w:type="dxa"/>
            <w:vAlign w:val="center"/>
          </w:tcPr>
          <w:p w14:paraId="74EACE97">
            <w:pPr>
              <w:pStyle w:val="23"/>
              <w:snapToGrid w:val="0"/>
              <w:jc w:val="center"/>
              <w:rPr>
                <w:rFonts w:ascii="Times New Roman" w:hAnsi="Times New Roman" w:cs="Times New Roman" w:eastAsiaTheme="minorEastAsia"/>
                <w:color w:val="auto"/>
                <w:sz w:val="21"/>
                <w:szCs w:val="21"/>
              </w:rPr>
            </w:pPr>
            <w:r>
              <w:rPr>
                <w:rFonts w:hint="eastAsia" w:ascii="Times New Roman" w:hAnsi="Times New Roman" w:cs="Times New Roman" w:eastAsiaTheme="minorEastAsia"/>
                <w:color w:val="auto"/>
                <w:sz w:val="21"/>
                <w:szCs w:val="21"/>
              </w:rPr>
              <w:t>开始时间</w:t>
            </w:r>
          </w:p>
        </w:tc>
        <w:tc>
          <w:tcPr>
            <w:tcW w:w="2127" w:type="dxa"/>
            <w:vAlign w:val="center"/>
          </w:tcPr>
          <w:p w14:paraId="6FFF18D4">
            <w:pPr>
              <w:pStyle w:val="23"/>
              <w:snapToGrid w:val="0"/>
              <w:jc w:val="center"/>
              <w:rPr>
                <w:rFonts w:ascii="Times New Roman" w:hAnsi="Times New Roman" w:cs="Times New Roman" w:eastAsiaTheme="minorEastAsia"/>
                <w:color w:val="auto"/>
                <w:sz w:val="21"/>
                <w:szCs w:val="21"/>
              </w:rPr>
            </w:pPr>
            <w:r>
              <w:rPr>
                <w:rFonts w:hint="eastAsia" w:ascii="Times New Roman" w:hAnsi="Times New Roman" w:cs="Times New Roman" w:eastAsiaTheme="minorEastAsia"/>
                <w:color w:val="auto"/>
                <w:sz w:val="21"/>
                <w:szCs w:val="21"/>
              </w:rPr>
              <w:t>截止时间</w:t>
            </w:r>
          </w:p>
        </w:tc>
        <w:tc>
          <w:tcPr>
            <w:tcW w:w="2868" w:type="dxa"/>
            <w:vAlign w:val="center"/>
          </w:tcPr>
          <w:p w14:paraId="0B1DB800">
            <w:pPr>
              <w:pStyle w:val="23"/>
              <w:snapToGrid w:val="0"/>
              <w:jc w:val="center"/>
              <w:rPr>
                <w:rFonts w:ascii="Times New Roman" w:hAnsi="Times New Roman" w:cs="Times New Roman" w:eastAsiaTheme="minorEastAsia"/>
                <w:color w:val="auto"/>
                <w:sz w:val="21"/>
                <w:szCs w:val="21"/>
              </w:rPr>
            </w:pPr>
            <w:r>
              <w:rPr>
                <w:rFonts w:hint="eastAsia" w:ascii="Times New Roman" w:hAnsi="Times New Roman" w:cs="Times New Roman" w:eastAsiaTheme="minorEastAsia"/>
                <w:color w:val="auto"/>
                <w:sz w:val="21"/>
                <w:szCs w:val="21"/>
              </w:rPr>
              <w:t>备注</w:t>
            </w:r>
          </w:p>
        </w:tc>
      </w:tr>
      <w:tr w14:paraId="4D8E2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47A8248B">
            <w:pPr>
              <w:pStyle w:val="2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1</w:t>
            </w:r>
          </w:p>
        </w:tc>
        <w:tc>
          <w:tcPr>
            <w:tcW w:w="1941" w:type="dxa"/>
            <w:vAlign w:val="center"/>
          </w:tcPr>
          <w:p w14:paraId="47AE7C3E">
            <w:pPr>
              <w:pStyle w:val="2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获取招标文件</w:t>
            </w:r>
          </w:p>
        </w:tc>
        <w:tc>
          <w:tcPr>
            <w:tcW w:w="1891" w:type="dxa"/>
            <w:vAlign w:val="center"/>
          </w:tcPr>
          <w:p w14:paraId="192BC82F">
            <w:pPr>
              <w:pStyle w:val="23"/>
              <w:snapToGrid w:val="0"/>
              <w:jc w:val="center"/>
              <w:rPr>
                <w:rFonts w:ascii="Times New Roman" w:hAnsi="Times New Roman" w:eastAsia="宋体"/>
                <w:color w:val="auto"/>
                <w:sz w:val="21"/>
                <w:szCs w:val="21"/>
              </w:rPr>
            </w:pPr>
            <w:r>
              <w:rPr>
                <w:rFonts w:ascii="Times New Roman" w:hAnsi="Times New Roman" w:eastAsia="宋体" w:cs="Times New Roman"/>
                <w:color w:val="auto"/>
                <w:sz w:val="21"/>
                <w:szCs w:val="21"/>
              </w:rPr>
              <w:t>2026年</w:t>
            </w:r>
            <w:r>
              <w:rPr>
                <w:rFonts w:hint="eastAsia" w:ascii="Times New Roman" w:hAnsi="Times New Roman" w:eastAsia="宋体" w:cs="Times New Roman"/>
                <w:color w:val="auto"/>
                <w:sz w:val="21"/>
                <w:szCs w:val="21"/>
              </w:rPr>
              <w:t>9</w:t>
            </w:r>
            <w:r>
              <w:rPr>
                <w:rFonts w:ascii="Times New Roman" w:hAnsi="Times New Roman" w:eastAsia="宋体" w:cs="Times New Roman"/>
                <w:color w:val="auto"/>
                <w:sz w:val="21"/>
                <w:szCs w:val="21"/>
              </w:rPr>
              <w:t>月</w:t>
            </w:r>
            <w:r>
              <w:rPr>
                <w:rFonts w:hint="eastAsia" w:ascii="Times New Roman" w:hAnsi="Times New Roman" w:eastAsia="宋体" w:cs="Times New Roman"/>
                <w:color w:val="auto"/>
                <w:sz w:val="21"/>
                <w:szCs w:val="21"/>
              </w:rPr>
              <w:t>23</w:t>
            </w:r>
            <w:r>
              <w:rPr>
                <w:rFonts w:ascii="Times New Roman" w:hAnsi="Times New Roman" w:eastAsia="宋体" w:cs="Times New Roman"/>
                <w:color w:val="auto"/>
                <w:sz w:val="21"/>
                <w:szCs w:val="21"/>
              </w:rPr>
              <w:t>日</w:t>
            </w:r>
          </w:p>
        </w:tc>
        <w:tc>
          <w:tcPr>
            <w:tcW w:w="2127" w:type="dxa"/>
            <w:vAlign w:val="center"/>
          </w:tcPr>
          <w:p w14:paraId="7828563B">
            <w:pPr>
              <w:pStyle w:val="23"/>
              <w:snapToGrid w:val="0"/>
              <w:jc w:val="center"/>
              <w:rPr>
                <w:rFonts w:ascii="Times New Roman" w:hAnsi="Times New Roman" w:eastAsia="宋体"/>
                <w:color w:val="auto"/>
                <w:sz w:val="21"/>
                <w:szCs w:val="21"/>
              </w:rPr>
            </w:pPr>
            <w:r>
              <w:rPr>
                <w:rFonts w:ascii="Times New Roman" w:hAnsi="Times New Roman" w:eastAsia="宋体" w:cs="Times New Roman"/>
                <w:color w:val="auto"/>
                <w:sz w:val="21"/>
                <w:szCs w:val="21"/>
              </w:rPr>
              <w:t>2026年</w:t>
            </w:r>
            <w:r>
              <w:rPr>
                <w:rFonts w:hint="eastAsia" w:ascii="Times New Roman" w:hAnsi="Times New Roman" w:eastAsia="宋体" w:cs="Times New Roman"/>
                <w:color w:val="auto"/>
                <w:sz w:val="21"/>
                <w:szCs w:val="21"/>
              </w:rPr>
              <w:t>10</w:t>
            </w:r>
            <w:r>
              <w:rPr>
                <w:rFonts w:ascii="Times New Roman" w:hAnsi="Times New Roman" w:eastAsia="宋体" w:cs="Times New Roman"/>
                <w:color w:val="auto"/>
                <w:sz w:val="21"/>
                <w:szCs w:val="21"/>
              </w:rPr>
              <w:t>月</w:t>
            </w:r>
            <w:r>
              <w:rPr>
                <w:rFonts w:hint="eastAsia" w:ascii="Times New Roman" w:hAnsi="Times New Roman" w:eastAsia="宋体" w:cs="Times New Roman"/>
                <w:color w:val="auto"/>
                <w:sz w:val="21"/>
                <w:szCs w:val="21"/>
              </w:rPr>
              <w:t>8</w:t>
            </w:r>
            <w:r>
              <w:rPr>
                <w:rFonts w:ascii="Times New Roman" w:hAnsi="Times New Roman" w:eastAsia="宋体" w:cs="Times New Roman"/>
                <w:color w:val="auto"/>
                <w:sz w:val="21"/>
                <w:szCs w:val="21"/>
              </w:rPr>
              <w:t>日</w:t>
            </w:r>
          </w:p>
        </w:tc>
        <w:tc>
          <w:tcPr>
            <w:tcW w:w="2868" w:type="dxa"/>
            <w:vAlign w:val="center"/>
          </w:tcPr>
          <w:p w14:paraId="5FAE30E9">
            <w:pPr>
              <w:pStyle w:val="23"/>
              <w:snapToGrid w:val="0"/>
              <w:jc w:val="both"/>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每日9:00至17:00（北京时间，法定节假日除外）。</w:t>
            </w:r>
          </w:p>
          <w:p w14:paraId="0CF17A04">
            <w:pPr>
              <w:pStyle w:val="23"/>
              <w:snapToGrid w:val="0"/>
              <w:jc w:val="both"/>
              <w:rPr>
                <w:rFonts w:ascii="Times New Roman" w:hAnsi="Times New Roman" w:eastAsia="宋体"/>
                <w:color w:val="auto"/>
                <w:sz w:val="21"/>
                <w:szCs w:val="21"/>
              </w:rPr>
            </w:pPr>
            <w:r>
              <w:rPr>
                <w:rFonts w:hint="eastAsia" w:ascii="Times New Roman" w:hAnsi="Times New Roman" w:eastAsia="宋体" w:cs="Times New Roman"/>
                <w:color w:val="auto"/>
                <w:sz w:val="21"/>
                <w:szCs w:val="21"/>
              </w:rPr>
              <w:t>未按时获取招标文件的，不能参与本项目</w:t>
            </w:r>
          </w:p>
        </w:tc>
      </w:tr>
      <w:tr w14:paraId="1BD6C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0D41F603">
            <w:pPr>
              <w:pStyle w:val="2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w:t>
            </w:r>
          </w:p>
        </w:tc>
        <w:tc>
          <w:tcPr>
            <w:tcW w:w="1941" w:type="dxa"/>
            <w:vAlign w:val="center"/>
          </w:tcPr>
          <w:p w14:paraId="01A84523">
            <w:pPr>
              <w:pStyle w:val="2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网上应答（上传电子投标文件）</w:t>
            </w:r>
          </w:p>
        </w:tc>
        <w:tc>
          <w:tcPr>
            <w:tcW w:w="1891" w:type="dxa"/>
            <w:vAlign w:val="center"/>
          </w:tcPr>
          <w:p w14:paraId="1A373D95">
            <w:pPr>
              <w:pStyle w:val="2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2026年9月23日9:00</w:t>
            </w:r>
          </w:p>
        </w:tc>
        <w:tc>
          <w:tcPr>
            <w:tcW w:w="2127" w:type="dxa"/>
            <w:vAlign w:val="center"/>
          </w:tcPr>
          <w:p w14:paraId="6B750819">
            <w:pPr>
              <w:pStyle w:val="2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2026年10月16日8:30</w:t>
            </w:r>
          </w:p>
        </w:tc>
        <w:tc>
          <w:tcPr>
            <w:tcW w:w="2868" w:type="dxa"/>
            <w:vAlign w:val="center"/>
          </w:tcPr>
          <w:p w14:paraId="176C22FE">
            <w:pPr>
              <w:pStyle w:val="23"/>
              <w:snapToGrid w:val="0"/>
              <w:jc w:val="both"/>
              <w:rPr>
                <w:rFonts w:ascii="Times New Roman" w:hAnsi="Times New Roman" w:eastAsia="宋体"/>
                <w:color w:val="auto"/>
                <w:sz w:val="21"/>
                <w:szCs w:val="21"/>
              </w:rPr>
            </w:pPr>
            <w:r>
              <w:rPr>
                <w:rFonts w:hint="eastAsia" w:ascii="Times New Roman" w:hAnsi="Times New Roman" w:eastAsia="宋体"/>
                <w:color w:val="auto"/>
                <w:sz w:val="21"/>
                <w:szCs w:val="21"/>
              </w:rPr>
              <w:t>未按时完成网上应答或未按时上传电子投标文件的，视为无效投标。</w:t>
            </w:r>
          </w:p>
        </w:tc>
      </w:tr>
      <w:tr w14:paraId="215F6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79" w:type="dxa"/>
            <w:vAlign w:val="center"/>
          </w:tcPr>
          <w:p w14:paraId="0E0140F2">
            <w:pPr>
              <w:pStyle w:val="2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3</w:t>
            </w:r>
          </w:p>
        </w:tc>
        <w:tc>
          <w:tcPr>
            <w:tcW w:w="1941" w:type="dxa"/>
            <w:vAlign w:val="center"/>
          </w:tcPr>
          <w:p w14:paraId="2AE5EF3C">
            <w:pPr>
              <w:pStyle w:val="2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开标解密</w:t>
            </w:r>
          </w:p>
        </w:tc>
        <w:tc>
          <w:tcPr>
            <w:tcW w:w="1891" w:type="dxa"/>
            <w:vAlign w:val="center"/>
          </w:tcPr>
          <w:p w14:paraId="38931A54">
            <w:pPr>
              <w:pStyle w:val="2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2026年10月16日8:30</w:t>
            </w:r>
          </w:p>
        </w:tc>
        <w:tc>
          <w:tcPr>
            <w:tcW w:w="2127" w:type="dxa"/>
            <w:vAlign w:val="center"/>
          </w:tcPr>
          <w:p w14:paraId="6C0A75C5">
            <w:pPr>
              <w:pStyle w:val="2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2026年10月16日9:30</w:t>
            </w:r>
          </w:p>
        </w:tc>
        <w:tc>
          <w:tcPr>
            <w:tcW w:w="2868" w:type="dxa"/>
            <w:vAlign w:val="center"/>
          </w:tcPr>
          <w:p w14:paraId="63536E7A">
            <w:pPr>
              <w:pStyle w:val="23"/>
              <w:snapToGrid w:val="0"/>
              <w:jc w:val="both"/>
              <w:rPr>
                <w:rFonts w:ascii="Times New Roman" w:hAnsi="Times New Roman" w:eastAsia="宋体"/>
                <w:color w:val="auto"/>
                <w:sz w:val="21"/>
                <w:szCs w:val="21"/>
              </w:rPr>
            </w:pPr>
            <w:r>
              <w:rPr>
                <w:rFonts w:hint="eastAsia" w:ascii="Times New Roman" w:hAnsi="Times New Roman" w:eastAsia="宋体"/>
                <w:color w:val="auto"/>
                <w:sz w:val="21"/>
                <w:szCs w:val="21"/>
              </w:rPr>
              <w:t>未按时完成开标解密的，视为无效投标。</w:t>
            </w:r>
          </w:p>
        </w:tc>
      </w:tr>
      <w:tr w14:paraId="623F0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7079EF2F">
            <w:pPr>
              <w:pStyle w:val="2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4</w:t>
            </w:r>
          </w:p>
        </w:tc>
        <w:tc>
          <w:tcPr>
            <w:tcW w:w="1941" w:type="dxa"/>
            <w:vAlign w:val="center"/>
          </w:tcPr>
          <w:p w14:paraId="685CCF59">
            <w:pPr>
              <w:pStyle w:val="23"/>
              <w:snapToGrid w:val="0"/>
              <w:jc w:val="center"/>
              <w:rPr>
                <w:rFonts w:ascii="Times New Roman" w:hAnsi="Times New Roman" w:eastAsia="宋体"/>
                <w:color w:val="auto"/>
                <w:sz w:val="21"/>
                <w:szCs w:val="21"/>
              </w:rPr>
            </w:pPr>
            <w:r>
              <w:rPr>
                <w:rFonts w:ascii="Times New Roman" w:hAnsi="Times New Roman" w:eastAsia="宋体"/>
                <w:color w:val="auto"/>
                <w:sz w:val="21"/>
                <w:szCs w:val="21"/>
              </w:rPr>
              <w:t>网上开标公示</w:t>
            </w:r>
          </w:p>
        </w:tc>
        <w:tc>
          <w:tcPr>
            <w:tcW w:w="1891" w:type="dxa"/>
            <w:vAlign w:val="center"/>
          </w:tcPr>
          <w:p w14:paraId="5C70FF0D">
            <w:pPr>
              <w:pStyle w:val="2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2026年10月16日9:30</w:t>
            </w:r>
          </w:p>
        </w:tc>
        <w:tc>
          <w:tcPr>
            <w:tcW w:w="2127" w:type="dxa"/>
            <w:vAlign w:val="center"/>
          </w:tcPr>
          <w:p w14:paraId="61EBA09A">
            <w:pPr>
              <w:pStyle w:val="2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2026年10月16日17:00</w:t>
            </w:r>
          </w:p>
        </w:tc>
        <w:tc>
          <w:tcPr>
            <w:tcW w:w="2868" w:type="dxa"/>
            <w:vAlign w:val="center"/>
          </w:tcPr>
          <w:p w14:paraId="0D108839">
            <w:pPr>
              <w:pStyle w:val="23"/>
              <w:snapToGrid w:val="0"/>
              <w:jc w:val="both"/>
              <w:rPr>
                <w:rFonts w:ascii="Times New Roman" w:hAnsi="Times New Roman" w:eastAsia="宋体"/>
                <w:color w:val="auto"/>
                <w:sz w:val="21"/>
                <w:szCs w:val="21"/>
              </w:rPr>
            </w:pPr>
          </w:p>
        </w:tc>
      </w:tr>
    </w:tbl>
    <w:p w14:paraId="65E4E1CD">
      <w:pPr>
        <w:pStyle w:val="23"/>
        <w:spacing w:line="360" w:lineRule="auto"/>
        <w:ind w:firstLine="480" w:firstLineChars="200"/>
        <w:rPr>
          <w:rFonts w:ascii="Times New Roman" w:hAnsi="Times New Roman" w:eastAsia="宋体"/>
          <w:color w:val="auto"/>
        </w:rPr>
      </w:pPr>
      <w:r>
        <w:rPr>
          <w:rFonts w:hint="eastAsia" w:ascii="Times New Roman" w:hAnsi="Times New Roman" w:eastAsia="宋体"/>
          <w:color w:val="auto"/>
        </w:rPr>
        <w:t>（二）参与本项目的方式要求</w:t>
      </w:r>
    </w:p>
    <w:p w14:paraId="67B57511">
      <w:pPr>
        <w:pStyle w:val="23"/>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 供应商注册、</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w:t>
      </w:r>
      <w:r>
        <w:rPr>
          <w:rFonts w:hint="eastAsia" w:ascii="Times New Roman" w:hAnsi="Times New Roman" w:eastAsia="宋体"/>
          <w:color w:val="auto"/>
        </w:rPr>
        <w:t>电子签章办理</w:t>
      </w:r>
      <w:r>
        <w:rPr>
          <w:rFonts w:hint="eastAsia" w:ascii="Times New Roman" w:hAnsi="Times New Roman" w:eastAsia="宋体" w:cs="Times New Roman"/>
          <w:color w:val="auto"/>
        </w:rPr>
        <w:t>办法：</w:t>
      </w:r>
    </w:p>
    <w:p w14:paraId="1E73FB69">
      <w:pPr>
        <w:pStyle w:val="23"/>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天津市政府采购中心网注册：登录天津市政府采购中心网（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）首页点击“用户注册维护”，填写相关内容。天津市政府采购中心</w:t>
      </w:r>
      <w:r>
        <w:rPr>
          <w:rFonts w:hint="eastAsia" w:ascii="Times New Roman" w:hAnsi="Times New Roman" w:eastAsia="宋体"/>
          <w:color w:val="auto"/>
        </w:rPr>
        <w:t>注册窗口联系电话：</w:t>
      </w:r>
      <w:r>
        <w:rPr>
          <w:rFonts w:ascii="Times New Roman" w:hAnsi="Times New Roman" w:eastAsia="宋体"/>
          <w:color w:val="auto"/>
        </w:rPr>
        <w:t>022-</w:t>
      </w:r>
      <w:r>
        <w:rPr>
          <w:rFonts w:ascii="Times New Roman" w:hAnsi="Times New Roman" w:eastAsia="宋体" w:cs="Times New Roman"/>
          <w:color w:val="auto"/>
        </w:rPr>
        <w:t>24538167</w:t>
      </w:r>
      <w:r>
        <w:rPr>
          <w:rFonts w:hint="eastAsia" w:ascii="Times New Roman" w:hAnsi="Times New Roman" w:eastAsia="宋体"/>
          <w:color w:val="auto"/>
        </w:rPr>
        <w:t>。</w:t>
      </w:r>
    </w:p>
    <w:p w14:paraId="5B74F790">
      <w:pPr>
        <w:pStyle w:val="23"/>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）领取及</w:t>
      </w:r>
      <w:r>
        <w:rPr>
          <w:rFonts w:hint="eastAsia" w:ascii="Times New Roman" w:hAnsi="Times New Roman" w:eastAsia="宋体"/>
          <w:color w:val="auto"/>
        </w:rPr>
        <w:t>电子签章办理</w:t>
      </w:r>
      <w:r>
        <w:rPr>
          <w:rFonts w:hint="eastAsia" w:ascii="Times New Roman" w:hAnsi="Times New Roman" w:eastAsia="宋体" w:cs="Times New Roman"/>
          <w:color w:val="auto"/>
        </w:rPr>
        <w:t>：参见天津市政府采购中心网（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w:t>
      </w:r>
      <w:r>
        <w:rPr>
          <w:rFonts w:ascii="Times New Roman" w:hAnsi="Times New Roman" w:eastAsia="宋体" w:cs="Times New Roman"/>
          <w:color w:val="auto"/>
        </w:rPr>
        <w:t>--</w:t>
      </w:r>
      <w:r>
        <w:rPr>
          <w:rFonts w:hint="eastAsia" w:ascii="Times New Roman" w:hAnsi="Times New Roman" w:eastAsia="宋体" w:cs="Times New Roman"/>
          <w:color w:val="auto"/>
        </w:rPr>
        <w:t>服务指南</w:t>
      </w:r>
      <w:r>
        <w:rPr>
          <w:rFonts w:ascii="Times New Roman" w:hAnsi="Times New Roman" w:eastAsia="宋体" w:cs="Times New Roman"/>
          <w:color w:val="auto"/>
        </w:rPr>
        <w:t>--</w:t>
      </w:r>
      <w:r>
        <w:rPr>
          <w:rFonts w:hint="eastAsia" w:ascii="Times New Roman" w:hAnsi="Times New Roman" w:eastAsia="宋体" w:cs="Times New Roman"/>
          <w:color w:val="auto"/>
        </w:rPr>
        <w:t>供应商注册、领取</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）及电子签章制章的流程。</w:t>
      </w:r>
    </w:p>
    <w:p w14:paraId="39A7D30E">
      <w:pPr>
        <w:pStyle w:val="23"/>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CA</w:t>
      </w:r>
      <w:r>
        <w:rPr>
          <w:rFonts w:hint="eastAsia" w:ascii="Times New Roman" w:hAnsi="Times New Roman" w:eastAsia="宋体" w:cs="Times New Roman"/>
          <w:color w:val="auto"/>
        </w:rPr>
        <w:t>数字证书办理联系电话：</w:t>
      </w:r>
      <w:r>
        <w:rPr>
          <w:rFonts w:ascii="Times New Roman" w:hAnsi="Times New Roman" w:eastAsia="宋体" w:cs="Times New Roman"/>
          <w:color w:val="auto"/>
        </w:rPr>
        <w:t>400-0566-110</w:t>
      </w:r>
      <w:r>
        <w:rPr>
          <w:rFonts w:hint="eastAsia" w:ascii="Times New Roman" w:hAnsi="Times New Roman" w:eastAsia="宋体" w:cs="Times New Roman"/>
          <w:color w:val="auto"/>
        </w:rPr>
        <w:t>或</w:t>
      </w:r>
      <w:r>
        <w:rPr>
          <w:rFonts w:ascii="Times New Roman" w:hAnsi="Times New Roman" w:eastAsia="宋体" w:cs="Times New Roman"/>
          <w:color w:val="auto"/>
        </w:rPr>
        <w:t>022-24538059</w:t>
      </w:r>
      <w:r>
        <w:rPr>
          <w:rFonts w:hint="eastAsia" w:ascii="Times New Roman" w:hAnsi="Times New Roman" w:eastAsia="宋体" w:cs="Times New Roman"/>
          <w:color w:val="auto"/>
        </w:rPr>
        <w:t>。</w:t>
      </w:r>
    </w:p>
    <w:p w14:paraId="4BE13292">
      <w:pPr>
        <w:pStyle w:val="23"/>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电子签章办理联系电话：</w:t>
      </w:r>
      <w:r>
        <w:rPr>
          <w:rFonts w:ascii="Times New Roman" w:hAnsi="Times New Roman" w:eastAsia="宋体" w:cs="Times New Roman"/>
          <w:color w:val="auto"/>
        </w:rPr>
        <w:t>022-24538</w:t>
      </w:r>
      <w:r>
        <w:rPr>
          <w:rFonts w:hint="eastAsia" w:ascii="Times New Roman" w:hAnsi="Times New Roman" w:eastAsia="宋体" w:cs="Times New Roman"/>
          <w:color w:val="auto"/>
        </w:rPr>
        <w:t>059。</w:t>
      </w:r>
    </w:p>
    <w:p w14:paraId="3E58D8FF">
      <w:pPr>
        <w:pStyle w:val="23"/>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 </w:t>
      </w:r>
      <w:r>
        <w:rPr>
          <w:rFonts w:ascii="Times New Roman" w:hAnsi="Times New Roman" w:eastAsia="宋体" w:cs="Times New Roman"/>
          <w:color w:val="auto"/>
        </w:rPr>
        <w:t>获取招标文件的方式</w:t>
      </w:r>
    </w:p>
    <w:p w14:paraId="738182AD">
      <w:pPr>
        <w:pStyle w:val="23"/>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采用</w:t>
      </w:r>
      <w:r>
        <w:rPr>
          <w:rFonts w:ascii="Times New Roman" w:hAnsi="Times New Roman" w:eastAsia="宋体" w:cs="Times New Roman"/>
          <w:color w:val="auto"/>
        </w:rPr>
        <w:t>网上获取电子</w:t>
      </w:r>
      <w:r>
        <w:rPr>
          <w:rFonts w:hint="eastAsia" w:ascii="Times New Roman" w:hAnsi="Times New Roman" w:eastAsia="宋体" w:cs="Times New Roman"/>
          <w:color w:val="auto"/>
        </w:rPr>
        <w:t>招标</w:t>
      </w:r>
      <w:r>
        <w:rPr>
          <w:rFonts w:ascii="Times New Roman" w:hAnsi="Times New Roman" w:eastAsia="宋体" w:cs="Times New Roman"/>
          <w:color w:val="auto"/>
        </w:rPr>
        <w:t>文件的方式，供应商应于规定的时间内使用天津数字认证有限公司发出的CA数字证书（原天津市电子认证中心发出尚在有效期内的CA数字证书仍可使用）登录天津市政府采购中心网（网址：</w:t>
      </w:r>
      <w:r>
        <w:fldChar w:fldCharType="begin"/>
      </w:r>
      <w:r>
        <w:instrText xml:space="preserve"> HYPERLINK "http://www.tjgpc.gov.cn" </w:instrText>
      </w:r>
      <w:r>
        <w:fldChar w:fldCharType="separate"/>
      </w:r>
      <w:r>
        <w:rPr>
          <w:rStyle w:val="22"/>
          <w:rFonts w:hint="eastAsia" w:ascii="Times New Roman" w:hAnsi="Times New Roman" w:eastAsia="宋体" w:cs="Times New Roman"/>
        </w:rPr>
        <w:t>http://tjgpc.zwfwb.tj.gov.cn</w:t>
      </w:r>
      <w:r>
        <w:rPr>
          <w:rStyle w:val="22"/>
          <w:rFonts w:hint="eastAsia" w:ascii="Times New Roman" w:hAnsi="Times New Roman" w:eastAsia="宋体" w:cs="Times New Roman"/>
        </w:rPr>
        <w:fldChar w:fldCharType="end"/>
      </w:r>
      <w:r>
        <w:rPr>
          <w:rFonts w:hint="eastAsia" w:ascii="Times New Roman" w:hAnsi="Times New Roman" w:eastAsia="宋体" w:cs="Times New Roman"/>
          <w:color w:val="auto"/>
        </w:rPr>
        <w:t>）-”网上招投标”-“供应商登录”-“市级集采机构入口”</w:t>
      </w:r>
      <w:r>
        <w:rPr>
          <w:rFonts w:ascii="Times New Roman" w:hAnsi="Times New Roman" w:eastAsia="宋体" w:cs="Times New Roman"/>
          <w:color w:val="auto"/>
        </w:rPr>
        <w:t>下载招标文件。</w:t>
      </w:r>
    </w:p>
    <w:p w14:paraId="7A1D5346">
      <w:pPr>
        <w:pStyle w:val="23"/>
        <w:spacing w:line="360" w:lineRule="auto"/>
        <w:ind w:firstLine="480" w:firstLineChars="200"/>
        <w:jc w:val="both"/>
        <w:rPr>
          <w:rFonts w:ascii="Times New Roman" w:hAnsi="Times New Roman" w:eastAsia="宋体"/>
          <w:color w:val="auto"/>
        </w:rPr>
      </w:pPr>
      <w:r>
        <w:rPr>
          <w:rFonts w:hint="eastAsia" w:ascii="Times New Roman" w:hAnsi="Times New Roman" w:eastAsia="宋体"/>
          <w:color w:val="auto"/>
        </w:rPr>
        <w:t>3. 网上应答（上传电子投标文件）方式</w:t>
      </w:r>
    </w:p>
    <w:p w14:paraId="694BC26B">
      <w:pPr>
        <w:pStyle w:val="23"/>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采用网上电子投标方式，投标人</w:t>
      </w:r>
      <w:r>
        <w:rPr>
          <w:rFonts w:hint="eastAsia" w:ascii="Times New Roman" w:hAnsi="Times New Roman" w:eastAsia="宋体" w:cs="Times New Roman"/>
          <w:color w:val="auto"/>
        </w:rPr>
        <w:t>应</w:t>
      </w:r>
      <w:r>
        <w:rPr>
          <w:rFonts w:ascii="Times New Roman" w:hAnsi="Times New Roman" w:eastAsia="宋体" w:cs="Times New Roman"/>
          <w:color w:val="auto"/>
        </w:rPr>
        <w:t>于</w:t>
      </w:r>
      <w:r>
        <w:rPr>
          <w:rFonts w:hint="eastAsia" w:ascii="Times New Roman" w:hAnsi="Times New Roman" w:eastAsia="宋体" w:cs="Times New Roman"/>
          <w:color w:val="auto"/>
        </w:rPr>
        <w:t>规定</w:t>
      </w:r>
      <w:r>
        <w:rPr>
          <w:rFonts w:ascii="Times New Roman" w:hAnsi="Times New Roman" w:eastAsia="宋体" w:cs="Times New Roman"/>
          <w:color w:val="auto"/>
        </w:rPr>
        <w:t>的时间</w:t>
      </w:r>
      <w:r>
        <w:rPr>
          <w:rFonts w:hint="eastAsia" w:ascii="Times New Roman" w:hAnsi="Times New Roman" w:eastAsia="宋体" w:cs="Times New Roman"/>
          <w:color w:val="auto"/>
        </w:rPr>
        <w:t>内</w:t>
      </w:r>
      <w:r>
        <w:rPr>
          <w:rFonts w:ascii="Times New Roman" w:hAnsi="Times New Roman" w:eastAsia="宋体" w:cs="Times New Roman"/>
          <w:color w:val="auto"/>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w:t>
      </w:r>
      <w:r>
        <w:rPr>
          <w:rFonts w:ascii="Times New Roman" w:hAnsi="Times New Roman" w:eastAsia="宋体" w:cs="Times New Roman"/>
          <w:color w:val="auto"/>
        </w:rPr>
        <w:t xml:space="preserve"> 进行网上应答</w:t>
      </w:r>
      <w:r>
        <w:rPr>
          <w:rFonts w:hint="eastAsia" w:ascii="Times New Roman" w:hAnsi="Times New Roman" w:eastAsia="宋体" w:cs="Times New Roman"/>
          <w:color w:val="auto"/>
        </w:rPr>
        <w:t>及提交，并上传加盖投标人电子签章的电子投标文件（以通过天津公共资源电子签章客户端正确读取签章信息为准），否则视为无效投标。</w:t>
      </w:r>
    </w:p>
    <w:p w14:paraId="0A947AFC">
      <w:pPr>
        <w:pStyle w:val="23"/>
        <w:spacing w:line="360" w:lineRule="auto"/>
        <w:ind w:firstLine="480" w:firstLineChars="200"/>
        <w:rPr>
          <w:rFonts w:ascii="Times New Roman" w:hAnsi="Times New Roman" w:eastAsia="宋体"/>
          <w:color w:val="auto"/>
        </w:rPr>
      </w:pPr>
      <w:r>
        <w:rPr>
          <w:rFonts w:ascii="Times New Roman" w:hAnsi="Times New Roman" w:eastAsia="宋体" w:cs="Times New Roman"/>
          <w:color w:val="auto"/>
        </w:rPr>
        <w:t>网上应答帮助链接：http://tjgpc.zwfwb.tj.gov.cn/webInfo/getWebInfoListForwebInfoClass.do?fkWebInfoclassId=W008</w:t>
      </w:r>
    </w:p>
    <w:p w14:paraId="609CB561">
      <w:pPr>
        <w:pStyle w:val="23"/>
        <w:spacing w:line="360" w:lineRule="auto"/>
        <w:ind w:firstLine="480" w:firstLineChars="200"/>
        <w:rPr>
          <w:rFonts w:ascii="Times New Roman" w:hAnsi="Times New Roman" w:eastAsia="宋体"/>
          <w:color w:val="auto"/>
        </w:rPr>
      </w:pPr>
      <w:r>
        <w:rPr>
          <w:rFonts w:hint="eastAsia" w:ascii="Times New Roman" w:hAnsi="Times New Roman" w:eastAsia="宋体"/>
          <w:color w:val="auto"/>
        </w:rPr>
        <w:t>4. 开标解密方式</w:t>
      </w:r>
    </w:p>
    <w:p w14:paraId="594AD209">
      <w:pPr>
        <w:pStyle w:val="23"/>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采用网上开标解密方式，投标人</w:t>
      </w:r>
      <w:r>
        <w:rPr>
          <w:rFonts w:hint="eastAsia" w:ascii="Times New Roman" w:hAnsi="Times New Roman" w:eastAsia="宋体" w:cs="Times New Roman"/>
          <w:color w:val="auto"/>
        </w:rPr>
        <w:t>应</w:t>
      </w:r>
      <w:r>
        <w:rPr>
          <w:rFonts w:ascii="Times New Roman" w:hAnsi="Times New Roman" w:eastAsia="宋体" w:cs="Times New Roman"/>
          <w:color w:val="auto"/>
        </w:rPr>
        <w:t>于</w:t>
      </w:r>
      <w:r>
        <w:rPr>
          <w:rFonts w:hint="eastAsia" w:ascii="Times New Roman" w:hAnsi="Times New Roman" w:eastAsia="宋体" w:cs="Times New Roman"/>
          <w:color w:val="auto"/>
        </w:rPr>
        <w:t>规定的时间</w:t>
      </w:r>
      <w:r>
        <w:rPr>
          <w:rFonts w:ascii="Times New Roman" w:hAnsi="Times New Roman" w:eastAsia="宋体" w:cs="Times New Roman"/>
          <w:color w:val="auto"/>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登录天津市政府采购中心网（网址：http://tjgpc.zwfwb.tj.gov.cn）-”网上招投标”-“供应商登录”-“市级集采机构入口”</w:t>
      </w:r>
      <w:r>
        <w:rPr>
          <w:rFonts w:ascii="Times New Roman" w:hAnsi="Times New Roman" w:eastAsia="宋体" w:cs="Times New Roman"/>
          <w:color w:val="auto"/>
        </w:rPr>
        <w:t>完成开标解密</w:t>
      </w:r>
      <w:r>
        <w:rPr>
          <w:rFonts w:hint="eastAsia" w:ascii="Times New Roman" w:hAnsi="Times New Roman" w:eastAsia="宋体" w:cs="Times New Roman"/>
          <w:color w:val="auto"/>
        </w:rPr>
        <w:t>，否则视为无效投标。</w:t>
      </w:r>
    </w:p>
    <w:p w14:paraId="470295D8">
      <w:pPr>
        <w:pStyle w:val="23"/>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5. </w:t>
      </w:r>
      <w:r>
        <w:rPr>
          <w:rFonts w:ascii="Times New Roman" w:hAnsi="Times New Roman" w:eastAsia="宋体" w:cs="Times New Roman"/>
          <w:color w:val="auto"/>
        </w:rPr>
        <w:t>网上开标公示方式</w:t>
      </w:r>
    </w:p>
    <w:p w14:paraId="5467C751">
      <w:pPr>
        <w:pStyle w:val="23"/>
        <w:spacing w:line="360" w:lineRule="auto"/>
        <w:ind w:firstLine="480" w:firstLineChars="200"/>
        <w:rPr>
          <w:rFonts w:ascii="Times New Roman" w:hAnsi="Times New Roman" w:eastAsia="宋体"/>
          <w:color w:val="auto"/>
        </w:rPr>
      </w:pPr>
      <w:r>
        <w:rPr>
          <w:rFonts w:hint="eastAsia" w:ascii="Times New Roman" w:hAnsi="Times New Roman" w:eastAsia="宋体" w:cs="Times New Roman"/>
          <w:color w:val="auto"/>
        </w:rPr>
        <w:t>投标人可在规定时间内使用天津数字认证有限公司发出的CA数字证书（原天津市电子认证中心发出尚在有效期内的CA数字证书仍可使用）登录天津市政府采购中心网（网址：http://tjgpc.zwfwb.tj.gov.cn）-”网上招投标”-“供应商登录”-“市级集采机构入口”自行查看开标信息。</w:t>
      </w:r>
    </w:p>
    <w:p w14:paraId="39C94EE7">
      <w:pPr>
        <w:pStyle w:val="23"/>
        <w:spacing w:line="360" w:lineRule="auto"/>
        <w:ind w:firstLine="480" w:firstLineChars="200"/>
        <w:rPr>
          <w:rFonts w:ascii="Times New Roman" w:hAnsi="Times New Roman" w:eastAsia="宋体"/>
          <w:color w:val="auto"/>
        </w:rPr>
      </w:pPr>
      <w:r>
        <w:rPr>
          <w:rFonts w:hint="eastAsia" w:ascii="Times New Roman" w:hAnsi="Times New Roman" w:eastAsia="宋体"/>
          <w:color w:val="auto"/>
        </w:rPr>
        <w:t>供应商应按以上步骤顺序、时间及方式要求参与本项目，否则视为不参与本项目。</w:t>
      </w:r>
    </w:p>
    <w:p w14:paraId="57A87F2E">
      <w:pPr>
        <w:pStyle w:val="23"/>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六、现场考察、标前答疑会</w:t>
      </w:r>
    </w:p>
    <w:p w14:paraId="3EFF3B04">
      <w:pPr>
        <w:pStyle w:val="23"/>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 本项目不组织现场考察</w:t>
      </w:r>
      <w:r>
        <w:rPr>
          <w:rFonts w:ascii="Times New Roman" w:hAnsi="Times New Roman" w:eastAsia="宋体" w:cs="Times New Roman"/>
          <w:color w:val="auto"/>
        </w:rPr>
        <w:t>。</w:t>
      </w:r>
    </w:p>
    <w:p w14:paraId="5272413D">
      <w:pPr>
        <w:pStyle w:val="23"/>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本项目不组织标前答疑会</w:t>
      </w:r>
      <w:r>
        <w:rPr>
          <w:rFonts w:ascii="Times New Roman" w:hAnsi="Times New Roman" w:eastAsia="宋体" w:cs="Times New Roman"/>
          <w:color w:val="auto"/>
        </w:rPr>
        <w:t>。</w:t>
      </w:r>
    </w:p>
    <w:p w14:paraId="0B3D62A9">
      <w:pPr>
        <w:pStyle w:val="23"/>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七、采购代理机构</w:t>
      </w:r>
      <w:r>
        <w:rPr>
          <w:rFonts w:hint="eastAsia" w:ascii="Times New Roman" w:hAnsi="Times New Roman" w:eastAsia="宋体" w:cs="Times New Roman"/>
          <w:color w:val="auto"/>
        </w:rPr>
        <w:t>信息</w:t>
      </w:r>
    </w:p>
    <w:p w14:paraId="07C6B59D">
      <w:pPr>
        <w:pStyle w:val="23"/>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w:t>
      </w:r>
      <w:r>
        <w:rPr>
          <w:rFonts w:hint="eastAsia" w:ascii="Times New Roman" w:hAnsi="Times New Roman" w:eastAsia="宋体" w:cs="Times New Roman"/>
          <w:color w:val="auto"/>
        </w:rPr>
        <w:t>采购代理机构名称：天津市政府采购中心</w:t>
      </w:r>
    </w:p>
    <w:p w14:paraId="243DA542">
      <w:pPr>
        <w:pStyle w:val="23"/>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（二）采购代理机构地址：天津市河东区红星路79号二楼</w:t>
      </w:r>
      <w:r>
        <w:rPr>
          <w:rFonts w:hint="eastAsia" w:ascii="Times New Roman" w:hAnsi="Times New Roman" w:eastAsia="宋体" w:cs="Times New Roman"/>
          <w:color w:val="auto"/>
        </w:rPr>
        <w:t>（邮编</w:t>
      </w:r>
      <w:r>
        <w:rPr>
          <w:rFonts w:ascii="Times New Roman" w:hAnsi="Times New Roman" w:eastAsia="宋体" w:cs="Times New Roman"/>
          <w:color w:val="auto"/>
        </w:rPr>
        <w:t>：300161</w:t>
      </w:r>
      <w:r>
        <w:rPr>
          <w:rFonts w:hint="eastAsia" w:ascii="Times New Roman" w:hAnsi="Times New Roman" w:eastAsia="宋体" w:cs="Times New Roman"/>
          <w:color w:val="auto"/>
        </w:rPr>
        <w:t>）</w:t>
      </w:r>
    </w:p>
    <w:p w14:paraId="7A3239E2">
      <w:pPr>
        <w:pStyle w:val="23"/>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w:t>
      </w:r>
      <w:r>
        <w:rPr>
          <w:rFonts w:ascii="Times New Roman" w:hAnsi="Times New Roman" w:eastAsia="宋体" w:cs="Times New Roman"/>
          <w:color w:val="auto"/>
        </w:rPr>
        <w:t>联系人：范志刚</w:t>
      </w:r>
      <w:r>
        <w:rPr>
          <w:rFonts w:hint="eastAsia" w:ascii="Times New Roman" w:hAnsi="Times New Roman" w:eastAsia="宋体" w:cs="Times New Roman"/>
          <w:color w:val="auto"/>
        </w:rPr>
        <w:t>、</w:t>
      </w:r>
      <w:r>
        <w:rPr>
          <w:rFonts w:ascii="Times New Roman" w:hAnsi="Times New Roman" w:eastAsia="宋体" w:cs="Times New Roman"/>
          <w:color w:val="auto"/>
        </w:rPr>
        <w:t>高原原</w:t>
      </w:r>
    </w:p>
    <w:p w14:paraId="5C0A5B41">
      <w:pPr>
        <w:pStyle w:val="23"/>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w:t>
      </w:r>
      <w:r>
        <w:rPr>
          <w:rFonts w:ascii="Times New Roman" w:hAnsi="Times New Roman" w:eastAsia="宋体" w:cs="Times New Roman"/>
          <w:color w:val="auto"/>
        </w:rPr>
        <w:t>网址：http://tjgpc.zwfwb.tj.gov.cn</w:t>
      </w:r>
    </w:p>
    <w:p w14:paraId="641E9632">
      <w:pPr>
        <w:pStyle w:val="23"/>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w:t>
      </w:r>
      <w:r>
        <w:rPr>
          <w:rFonts w:ascii="Times New Roman" w:hAnsi="Times New Roman" w:eastAsia="宋体" w:cs="Times New Roman"/>
          <w:color w:val="auto"/>
        </w:rPr>
        <w:t>对外办公时间：</w:t>
      </w:r>
      <w:r>
        <w:rPr>
          <w:rFonts w:hint="eastAsia" w:ascii="Times New Roman" w:hAnsi="Times New Roman" w:eastAsia="宋体" w:cs="Times New Roman"/>
          <w:color w:val="auto"/>
        </w:rPr>
        <w:t>法定</w:t>
      </w:r>
      <w:r>
        <w:rPr>
          <w:rFonts w:ascii="Times New Roman" w:hAnsi="Times New Roman" w:eastAsia="宋体" w:cs="Times New Roman"/>
          <w:color w:val="auto"/>
        </w:rPr>
        <w:t>工作日9:00～12:00，14:00～1</w:t>
      </w:r>
      <w:r>
        <w:rPr>
          <w:rFonts w:hint="eastAsia" w:ascii="Times New Roman" w:hAnsi="Times New Roman" w:eastAsia="宋体" w:cs="Times New Roman"/>
          <w:color w:val="auto"/>
        </w:rPr>
        <w:t>7</w:t>
      </w:r>
      <w:r>
        <w:rPr>
          <w:rFonts w:ascii="Times New Roman" w:hAnsi="Times New Roman" w:eastAsia="宋体" w:cs="Times New Roman"/>
          <w:color w:val="auto"/>
        </w:rPr>
        <w:t>:00</w:t>
      </w:r>
    </w:p>
    <w:p w14:paraId="2A461708">
      <w:pPr>
        <w:pStyle w:val="23"/>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（六）咨询服务电话</w:t>
      </w:r>
      <w:r>
        <w:rPr>
          <w:rFonts w:ascii="Times New Roman" w:hAnsi="Times New Roman" w:eastAsia="宋体" w:cs="Times New Roman"/>
          <w:color w:val="auto"/>
        </w:rPr>
        <w:t>：</w:t>
      </w:r>
    </w:p>
    <w:p w14:paraId="741518C7">
      <w:pPr>
        <w:pStyle w:val="23"/>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 供应商注册咨询</w:t>
      </w:r>
      <w:r>
        <w:rPr>
          <w:rFonts w:hint="eastAsia" w:ascii="Times New Roman" w:hAnsi="Times New Roman" w:eastAsia="宋体" w:cs="Times New Roman"/>
          <w:color w:val="auto"/>
        </w:rPr>
        <w:t>：</w:t>
      </w:r>
      <w:r>
        <w:rPr>
          <w:rFonts w:ascii="Times New Roman" w:hAnsi="Times New Roman" w:eastAsia="宋体" w:cs="Times New Roman"/>
          <w:color w:val="auto"/>
        </w:rPr>
        <w:t>022-24538167</w:t>
      </w:r>
    </w:p>
    <w:p w14:paraId="53FB24B0">
      <w:pPr>
        <w:pStyle w:val="23"/>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CA证书和</w:t>
      </w:r>
      <w:r>
        <w:rPr>
          <w:rFonts w:ascii="Times New Roman" w:hAnsi="Times New Roman" w:eastAsia="宋体" w:cs="Times New Roman"/>
          <w:color w:val="auto"/>
        </w:rPr>
        <w:t>电子签章办理咨询：</w:t>
      </w:r>
      <w:r>
        <w:rPr>
          <w:rFonts w:hint="eastAsia" w:ascii="Times New Roman" w:hAnsi="Times New Roman" w:eastAsia="宋体" w:cs="Times New Roman"/>
          <w:color w:val="auto"/>
        </w:rPr>
        <w:t>022-24538059</w:t>
      </w:r>
    </w:p>
    <w:p w14:paraId="0EBCDEF7">
      <w:pPr>
        <w:pStyle w:val="23"/>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w:t>
      </w:r>
      <w:r>
        <w:rPr>
          <w:rFonts w:ascii="Times New Roman" w:hAnsi="Times New Roman" w:eastAsia="宋体" w:cs="Times New Roman"/>
          <w:color w:val="auto"/>
        </w:rPr>
        <w:t>. 采购文件咨询：022-2453</w:t>
      </w:r>
      <w:r>
        <w:rPr>
          <w:rFonts w:hint="eastAsia" w:ascii="Times New Roman" w:hAnsi="Times New Roman" w:eastAsia="宋体" w:cs="Times New Roman"/>
          <w:color w:val="auto"/>
        </w:rPr>
        <w:t>8318</w:t>
      </w:r>
    </w:p>
    <w:p w14:paraId="69375F93">
      <w:pPr>
        <w:pStyle w:val="23"/>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w:t>
      </w:r>
      <w:r>
        <w:rPr>
          <w:rFonts w:ascii="Times New Roman" w:hAnsi="Times New Roman" w:eastAsia="宋体" w:cs="Times New Roman"/>
          <w:color w:val="auto"/>
        </w:rPr>
        <w:t>. 网上应答</w:t>
      </w:r>
      <w:r>
        <w:rPr>
          <w:rFonts w:hint="eastAsia" w:ascii="Times New Roman" w:hAnsi="Times New Roman" w:eastAsia="宋体" w:cs="Times New Roman"/>
          <w:color w:val="auto"/>
        </w:rPr>
        <w:t>及</w:t>
      </w:r>
      <w:r>
        <w:rPr>
          <w:rFonts w:ascii="Times New Roman" w:hAnsi="Times New Roman" w:eastAsia="宋体" w:cs="Times New Roman"/>
          <w:color w:val="auto"/>
        </w:rPr>
        <w:t>解密操作咨询：022-24538309</w:t>
      </w:r>
    </w:p>
    <w:p w14:paraId="2722ED1B">
      <w:pPr>
        <w:pStyle w:val="23"/>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八</w:t>
      </w:r>
      <w:r>
        <w:rPr>
          <w:rFonts w:ascii="Times New Roman" w:hAnsi="Times New Roman" w:eastAsia="宋体" w:cs="Times New Roman"/>
          <w:color w:val="auto"/>
        </w:rPr>
        <w:t>、采购人</w:t>
      </w:r>
      <w:r>
        <w:rPr>
          <w:rFonts w:hint="eastAsia" w:ascii="Times New Roman" w:hAnsi="Times New Roman" w:eastAsia="宋体" w:cs="Times New Roman"/>
          <w:color w:val="auto"/>
        </w:rPr>
        <w:t>信息</w:t>
      </w:r>
    </w:p>
    <w:p w14:paraId="75584E00">
      <w:pPr>
        <w:pStyle w:val="23"/>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（一）采购人名称：</w:t>
      </w:r>
      <w:r>
        <w:rPr>
          <w:rFonts w:hint="eastAsia" w:ascii="Times New Roman" w:hAnsi="Times New Roman" w:eastAsia="宋体" w:cs="Times New Roman"/>
          <w:color w:val="auto"/>
        </w:rPr>
        <w:t>天津市消防救援总队</w:t>
      </w:r>
    </w:p>
    <w:p w14:paraId="385A0930">
      <w:pPr>
        <w:pStyle w:val="23"/>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（二）采购人地址：</w:t>
      </w:r>
      <w:r>
        <w:rPr>
          <w:rFonts w:hint="eastAsia" w:ascii="Times New Roman" w:hAnsi="Times New Roman" w:eastAsia="宋体" w:cs="Times New Roman"/>
          <w:color w:val="auto"/>
        </w:rPr>
        <w:t>天津市南开区南马路708号</w:t>
      </w:r>
    </w:p>
    <w:p w14:paraId="391D1701">
      <w:pPr>
        <w:pStyle w:val="23"/>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（三）采购人联系人：</w:t>
      </w:r>
      <w:r>
        <w:rPr>
          <w:rFonts w:hint="eastAsia" w:ascii="Times New Roman" w:hAnsi="Times New Roman" w:eastAsia="宋体" w:cs="Times New Roman"/>
          <w:color w:val="auto"/>
        </w:rPr>
        <w:t>张助理</w:t>
      </w:r>
    </w:p>
    <w:p w14:paraId="115A4059">
      <w:pPr>
        <w:pStyle w:val="23"/>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（四）采购人联系电话：022-27330119-8699</w:t>
      </w:r>
    </w:p>
    <w:p w14:paraId="1DD38B7A">
      <w:pPr>
        <w:pStyle w:val="23"/>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九</w:t>
      </w:r>
      <w:r>
        <w:rPr>
          <w:rFonts w:ascii="Times New Roman" w:hAnsi="Times New Roman" w:eastAsia="宋体" w:cs="Times New Roman"/>
          <w:color w:val="auto"/>
        </w:rPr>
        <w:t>、质疑方式</w:t>
      </w:r>
    </w:p>
    <w:p w14:paraId="5D44A4AA">
      <w:pPr>
        <w:pStyle w:val="23"/>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5F06E033">
      <w:pPr>
        <w:pStyle w:val="23"/>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采购人质疑受理：</w:t>
      </w:r>
    </w:p>
    <w:p w14:paraId="2465B9CC">
      <w:pPr>
        <w:pStyle w:val="23"/>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 联系部门：天津市消防救援总队</w:t>
      </w:r>
    </w:p>
    <w:p w14:paraId="27690EB0">
      <w:pPr>
        <w:pStyle w:val="23"/>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 联系地址：天津市南开区南马路708号</w:t>
      </w:r>
    </w:p>
    <w:p w14:paraId="5515605F">
      <w:pPr>
        <w:pStyle w:val="23"/>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 联 系 人：张助理</w:t>
      </w:r>
    </w:p>
    <w:p w14:paraId="3FB9DEA0">
      <w:pPr>
        <w:pStyle w:val="23"/>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 联系方式：</w:t>
      </w:r>
      <w:r>
        <w:rPr>
          <w:rFonts w:ascii="Times New Roman" w:hAnsi="Times New Roman" w:eastAsia="宋体" w:cs="Times New Roman"/>
          <w:color w:val="auto"/>
        </w:rPr>
        <w:t>022-27330119-8699</w:t>
      </w:r>
    </w:p>
    <w:p w14:paraId="3A03F570">
      <w:pPr>
        <w:pStyle w:val="23"/>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十、公告期限</w:t>
      </w:r>
    </w:p>
    <w:p w14:paraId="67008833">
      <w:pPr>
        <w:pStyle w:val="23"/>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招标公告的公告期限为5个工作日。</w:t>
      </w:r>
    </w:p>
    <w:p w14:paraId="1D6FE939">
      <w:pPr>
        <w:pStyle w:val="23"/>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一</w:t>
      </w:r>
      <w:r>
        <w:rPr>
          <w:rFonts w:ascii="Times New Roman" w:hAnsi="Times New Roman" w:eastAsia="宋体" w:cs="Times New Roman"/>
          <w:color w:val="auto"/>
        </w:rPr>
        <w:t>、招标代理服务费</w:t>
      </w:r>
    </w:p>
    <w:p w14:paraId="71855803">
      <w:pPr>
        <w:pStyle w:val="23"/>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本项目按以下比例向中标供应商收取招标代理服务费</w:t>
      </w:r>
      <w:r>
        <w:rPr>
          <w:rFonts w:hint="eastAsia" w:ascii="Times New Roman" w:hAnsi="Times New Roman" w:eastAsia="宋体" w:cs="Times New Roman"/>
          <w:color w:val="auto"/>
        </w:rPr>
        <w:t>：</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6"/>
        <w:gridCol w:w="3657"/>
      </w:tblGrid>
      <w:tr w14:paraId="5A81F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blHeader/>
          <w:jc w:val="center"/>
        </w:trPr>
        <w:tc>
          <w:tcPr>
            <w:tcW w:w="3656" w:type="dxa"/>
            <w:vAlign w:val="center"/>
          </w:tcPr>
          <w:p w14:paraId="17E011A5">
            <w:pPr>
              <w:tabs>
                <w:tab w:val="left" w:pos="750"/>
                <w:tab w:val="left" w:pos="840"/>
              </w:tabs>
              <w:adjustRightInd w:val="0"/>
              <w:snapToGrid w:val="0"/>
              <w:jc w:val="center"/>
              <w:rPr>
                <w:sz w:val="24"/>
              </w:rPr>
            </w:pPr>
            <w:r>
              <w:rPr>
                <w:sz w:val="24"/>
              </w:rPr>
              <w:t>中标金额</w:t>
            </w:r>
            <w:r>
              <w:rPr>
                <w:rFonts w:hint="eastAsia"/>
                <w:sz w:val="24"/>
              </w:rPr>
              <w:t>（万元）</w:t>
            </w:r>
          </w:p>
        </w:tc>
        <w:tc>
          <w:tcPr>
            <w:tcW w:w="3657" w:type="dxa"/>
            <w:vAlign w:val="center"/>
          </w:tcPr>
          <w:p w14:paraId="6782DEB6">
            <w:pPr>
              <w:tabs>
                <w:tab w:val="left" w:pos="750"/>
                <w:tab w:val="left" w:pos="840"/>
              </w:tabs>
              <w:adjustRightInd w:val="0"/>
              <w:snapToGrid w:val="0"/>
              <w:jc w:val="center"/>
              <w:rPr>
                <w:sz w:val="24"/>
              </w:rPr>
            </w:pPr>
            <w:r>
              <w:rPr>
                <w:sz w:val="24"/>
              </w:rPr>
              <w:t>费率</w:t>
            </w:r>
          </w:p>
        </w:tc>
      </w:tr>
      <w:tr w14:paraId="72DA9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1CD74305">
            <w:pPr>
              <w:tabs>
                <w:tab w:val="left" w:pos="750"/>
                <w:tab w:val="left" w:pos="840"/>
              </w:tabs>
              <w:adjustRightInd w:val="0"/>
              <w:snapToGrid w:val="0"/>
              <w:jc w:val="center"/>
              <w:rPr>
                <w:sz w:val="24"/>
              </w:rPr>
            </w:pPr>
            <w:r>
              <w:rPr>
                <w:sz w:val="24"/>
              </w:rPr>
              <w:t>100以下</w:t>
            </w:r>
          </w:p>
        </w:tc>
        <w:tc>
          <w:tcPr>
            <w:tcW w:w="3657" w:type="dxa"/>
            <w:vAlign w:val="center"/>
          </w:tcPr>
          <w:p w14:paraId="65A74E4E">
            <w:pPr>
              <w:tabs>
                <w:tab w:val="left" w:pos="750"/>
                <w:tab w:val="left" w:pos="840"/>
              </w:tabs>
              <w:adjustRightInd w:val="0"/>
              <w:snapToGrid w:val="0"/>
              <w:jc w:val="center"/>
              <w:rPr>
                <w:sz w:val="24"/>
              </w:rPr>
            </w:pPr>
            <w:r>
              <w:rPr>
                <w:sz w:val="24"/>
              </w:rPr>
              <w:t>1.</w:t>
            </w:r>
            <w:r>
              <w:rPr>
                <w:rFonts w:hint="eastAsia"/>
                <w:sz w:val="24"/>
              </w:rPr>
              <w:t>0</w:t>
            </w:r>
            <w:r>
              <w:rPr>
                <w:sz w:val="24"/>
              </w:rPr>
              <w:t>%</w:t>
            </w:r>
          </w:p>
        </w:tc>
      </w:tr>
      <w:tr w14:paraId="134E4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732AE0A3">
            <w:pPr>
              <w:tabs>
                <w:tab w:val="left" w:pos="750"/>
                <w:tab w:val="left" w:pos="840"/>
              </w:tabs>
              <w:adjustRightInd w:val="0"/>
              <w:snapToGrid w:val="0"/>
              <w:jc w:val="center"/>
              <w:rPr>
                <w:sz w:val="24"/>
              </w:rPr>
            </w:pPr>
            <w:r>
              <w:rPr>
                <w:sz w:val="24"/>
              </w:rPr>
              <w:t>100-500</w:t>
            </w:r>
          </w:p>
        </w:tc>
        <w:tc>
          <w:tcPr>
            <w:tcW w:w="3657" w:type="dxa"/>
            <w:vAlign w:val="center"/>
          </w:tcPr>
          <w:p w14:paraId="39CA5766">
            <w:pPr>
              <w:tabs>
                <w:tab w:val="left" w:pos="750"/>
                <w:tab w:val="left" w:pos="840"/>
              </w:tabs>
              <w:adjustRightInd w:val="0"/>
              <w:snapToGrid w:val="0"/>
              <w:jc w:val="center"/>
              <w:rPr>
                <w:sz w:val="24"/>
              </w:rPr>
            </w:pPr>
            <w:r>
              <w:rPr>
                <w:rFonts w:hint="eastAsia"/>
                <w:sz w:val="24"/>
              </w:rPr>
              <w:t>0</w:t>
            </w:r>
            <w:r>
              <w:rPr>
                <w:sz w:val="24"/>
              </w:rPr>
              <w:t>.</w:t>
            </w:r>
            <w:r>
              <w:rPr>
                <w:rFonts w:hint="eastAsia"/>
                <w:sz w:val="24"/>
              </w:rPr>
              <w:t>8</w:t>
            </w:r>
            <w:r>
              <w:rPr>
                <w:sz w:val="24"/>
              </w:rPr>
              <w:t>%</w:t>
            </w:r>
          </w:p>
        </w:tc>
      </w:tr>
      <w:tr w14:paraId="1D990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4A30C172">
            <w:pPr>
              <w:tabs>
                <w:tab w:val="left" w:pos="750"/>
                <w:tab w:val="left" w:pos="840"/>
              </w:tabs>
              <w:adjustRightInd w:val="0"/>
              <w:snapToGrid w:val="0"/>
              <w:jc w:val="center"/>
              <w:rPr>
                <w:sz w:val="24"/>
              </w:rPr>
            </w:pPr>
            <w:r>
              <w:rPr>
                <w:sz w:val="24"/>
              </w:rPr>
              <w:t>500-1000</w:t>
            </w:r>
          </w:p>
        </w:tc>
        <w:tc>
          <w:tcPr>
            <w:tcW w:w="3657" w:type="dxa"/>
            <w:vAlign w:val="center"/>
          </w:tcPr>
          <w:p w14:paraId="4B321FD8">
            <w:pPr>
              <w:tabs>
                <w:tab w:val="left" w:pos="750"/>
                <w:tab w:val="left" w:pos="840"/>
              </w:tabs>
              <w:adjustRightInd w:val="0"/>
              <w:snapToGrid w:val="0"/>
              <w:jc w:val="center"/>
              <w:rPr>
                <w:sz w:val="24"/>
              </w:rPr>
            </w:pPr>
            <w:r>
              <w:rPr>
                <w:sz w:val="24"/>
              </w:rPr>
              <w:t>0.</w:t>
            </w:r>
            <w:r>
              <w:rPr>
                <w:rFonts w:hint="eastAsia"/>
                <w:sz w:val="24"/>
              </w:rPr>
              <w:t>65</w:t>
            </w:r>
            <w:r>
              <w:rPr>
                <w:sz w:val="24"/>
              </w:rPr>
              <w:t>%</w:t>
            </w:r>
          </w:p>
        </w:tc>
      </w:tr>
      <w:tr w14:paraId="78EDF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5B6FB2AA">
            <w:pPr>
              <w:tabs>
                <w:tab w:val="left" w:pos="750"/>
                <w:tab w:val="left" w:pos="840"/>
              </w:tabs>
              <w:adjustRightInd w:val="0"/>
              <w:snapToGrid w:val="0"/>
              <w:jc w:val="center"/>
              <w:rPr>
                <w:sz w:val="24"/>
              </w:rPr>
            </w:pPr>
            <w:r>
              <w:rPr>
                <w:sz w:val="24"/>
              </w:rPr>
              <w:t>1000</w:t>
            </w:r>
            <w:r>
              <w:rPr>
                <w:rFonts w:hint="eastAsia"/>
                <w:sz w:val="24"/>
              </w:rPr>
              <w:t>-5000</w:t>
            </w:r>
          </w:p>
        </w:tc>
        <w:tc>
          <w:tcPr>
            <w:tcW w:w="3657" w:type="dxa"/>
            <w:vAlign w:val="center"/>
          </w:tcPr>
          <w:p w14:paraId="4475CAAA">
            <w:pPr>
              <w:tabs>
                <w:tab w:val="left" w:pos="750"/>
                <w:tab w:val="left" w:pos="840"/>
              </w:tabs>
              <w:adjustRightInd w:val="0"/>
              <w:snapToGrid w:val="0"/>
              <w:jc w:val="center"/>
              <w:rPr>
                <w:sz w:val="24"/>
              </w:rPr>
            </w:pPr>
            <w:r>
              <w:rPr>
                <w:sz w:val="24"/>
              </w:rPr>
              <w:t>0.5%</w:t>
            </w:r>
          </w:p>
        </w:tc>
      </w:tr>
      <w:tr w14:paraId="7F8BA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1B8FAB09">
            <w:pPr>
              <w:tabs>
                <w:tab w:val="left" w:pos="750"/>
                <w:tab w:val="left" w:pos="840"/>
              </w:tabs>
              <w:adjustRightInd w:val="0"/>
              <w:snapToGrid w:val="0"/>
              <w:jc w:val="center"/>
              <w:rPr>
                <w:sz w:val="24"/>
              </w:rPr>
            </w:pPr>
            <w:r>
              <w:rPr>
                <w:rFonts w:hint="eastAsia"/>
                <w:sz w:val="24"/>
              </w:rPr>
              <w:t>5000-10000</w:t>
            </w:r>
          </w:p>
        </w:tc>
        <w:tc>
          <w:tcPr>
            <w:tcW w:w="3657" w:type="dxa"/>
            <w:vAlign w:val="center"/>
          </w:tcPr>
          <w:p w14:paraId="614F8E93">
            <w:pPr>
              <w:tabs>
                <w:tab w:val="left" w:pos="750"/>
                <w:tab w:val="left" w:pos="840"/>
              </w:tabs>
              <w:adjustRightInd w:val="0"/>
              <w:snapToGrid w:val="0"/>
              <w:jc w:val="center"/>
              <w:rPr>
                <w:sz w:val="24"/>
              </w:rPr>
            </w:pPr>
            <w:r>
              <w:rPr>
                <w:sz w:val="24"/>
              </w:rPr>
              <w:t>0.25%</w:t>
            </w:r>
          </w:p>
        </w:tc>
      </w:tr>
      <w:tr w14:paraId="6B4FE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49445E28">
            <w:pPr>
              <w:tabs>
                <w:tab w:val="left" w:pos="750"/>
                <w:tab w:val="left" w:pos="840"/>
              </w:tabs>
              <w:adjustRightInd w:val="0"/>
              <w:snapToGrid w:val="0"/>
              <w:jc w:val="center"/>
              <w:rPr>
                <w:sz w:val="24"/>
              </w:rPr>
            </w:pPr>
            <w:r>
              <w:rPr>
                <w:rFonts w:hint="eastAsia"/>
                <w:sz w:val="24"/>
              </w:rPr>
              <w:t>10000-100000</w:t>
            </w:r>
          </w:p>
        </w:tc>
        <w:tc>
          <w:tcPr>
            <w:tcW w:w="3657" w:type="dxa"/>
            <w:vAlign w:val="center"/>
          </w:tcPr>
          <w:p w14:paraId="21DB6CFC">
            <w:pPr>
              <w:tabs>
                <w:tab w:val="left" w:pos="750"/>
                <w:tab w:val="left" w:pos="840"/>
              </w:tabs>
              <w:adjustRightInd w:val="0"/>
              <w:snapToGrid w:val="0"/>
              <w:jc w:val="center"/>
              <w:rPr>
                <w:sz w:val="24"/>
              </w:rPr>
            </w:pPr>
            <w:r>
              <w:rPr>
                <w:sz w:val="24"/>
              </w:rPr>
              <w:t>0.05%</w:t>
            </w:r>
          </w:p>
        </w:tc>
      </w:tr>
    </w:tbl>
    <w:p w14:paraId="0A70F89D">
      <w:pPr>
        <w:tabs>
          <w:tab w:val="left" w:pos="700"/>
        </w:tabs>
        <w:autoSpaceDE w:val="0"/>
        <w:autoSpaceDN w:val="0"/>
        <w:adjustRightInd w:val="0"/>
        <w:spacing w:line="360" w:lineRule="auto"/>
        <w:ind w:firstLine="480" w:firstLineChars="200"/>
        <w:rPr>
          <w:sz w:val="24"/>
          <w:lang w:val="zh-CN"/>
        </w:rPr>
      </w:pPr>
      <w:r>
        <w:rPr>
          <w:sz w:val="24"/>
          <w:lang w:val="zh-CN"/>
        </w:rPr>
        <w:t>服务费按差额定率累进法计算</w:t>
      </w:r>
      <w:r>
        <w:rPr>
          <w:rFonts w:hint="eastAsia"/>
          <w:sz w:val="24"/>
          <w:lang w:val="zh-CN"/>
        </w:rPr>
        <w:t>，向下取整，精确到元。</w:t>
      </w:r>
      <w:r>
        <w:rPr>
          <w:sz w:val="24"/>
          <w:lang w:val="zh-CN"/>
        </w:rPr>
        <w:t>例如</w:t>
      </w:r>
      <w:r>
        <w:rPr>
          <w:sz w:val="24"/>
        </w:rPr>
        <w:t>中标</w:t>
      </w:r>
      <w:r>
        <w:rPr>
          <w:sz w:val="24"/>
          <w:lang w:val="zh-CN"/>
        </w:rPr>
        <w:t>金额为680</w:t>
      </w:r>
      <w:r>
        <w:rPr>
          <w:rFonts w:hint="eastAsia"/>
          <w:sz w:val="24"/>
          <w:lang w:val="zh-CN"/>
        </w:rPr>
        <w:t>5000</w:t>
      </w:r>
      <w:r>
        <w:rPr>
          <w:sz w:val="24"/>
          <w:lang w:val="zh-CN"/>
        </w:rPr>
        <w:t>元，服务费</w:t>
      </w:r>
      <w:r>
        <w:rPr>
          <w:rFonts w:hint="eastAsia"/>
          <w:sz w:val="24"/>
          <w:lang w:val="zh-CN"/>
        </w:rPr>
        <w:t>=</w:t>
      </w:r>
      <w:r>
        <w:rPr>
          <w:sz w:val="24"/>
          <w:lang w:val="zh-CN"/>
        </w:rPr>
        <w:t>100</w:t>
      </w:r>
      <w:r>
        <w:rPr>
          <w:rFonts w:hint="eastAsia"/>
          <w:sz w:val="24"/>
          <w:lang w:val="zh-CN"/>
        </w:rPr>
        <w:t>0000</w:t>
      </w:r>
      <w:r>
        <w:rPr>
          <w:sz w:val="24"/>
          <w:lang w:val="zh-CN"/>
        </w:rPr>
        <w:t>×1%+</w:t>
      </w:r>
      <w:r>
        <w:rPr>
          <w:rFonts w:hint="eastAsia"/>
          <w:sz w:val="24"/>
          <w:lang w:val="zh-CN"/>
        </w:rPr>
        <w:t>（</w:t>
      </w:r>
      <w:r>
        <w:rPr>
          <w:sz w:val="24"/>
          <w:lang w:val="zh-CN"/>
        </w:rPr>
        <w:t>500</w:t>
      </w:r>
      <w:r>
        <w:rPr>
          <w:rFonts w:hint="eastAsia"/>
          <w:sz w:val="24"/>
          <w:lang w:val="zh-CN"/>
        </w:rPr>
        <w:t>0000</w:t>
      </w:r>
      <w:r>
        <w:rPr>
          <w:sz w:val="24"/>
          <w:lang w:val="zh-CN"/>
        </w:rPr>
        <w:t>-100</w:t>
      </w:r>
      <w:r>
        <w:rPr>
          <w:rFonts w:hint="eastAsia"/>
          <w:sz w:val="24"/>
          <w:lang w:val="zh-CN"/>
        </w:rPr>
        <w:t>0000）</w:t>
      </w:r>
      <w:r>
        <w:rPr>
          <w:sz w:val="24"/>
          <w:lang w:val="zh-CN"/>
        </w:rPr>
        <w:t>×</w:t>
      </w:r>
      <w:r>
        <w:rPr>
          <w:rFonts w:hint="eastAsia"/>
          <w:sz w:val="24"/>
          <w:lang w:val="zh-CN"/>
        </w:rPr>
        <w:t>0.8</w:t>
      </w:r>
      <w:r>
        <w:rPr>
          <w:sz w:val="24"/>
          <w:lang w:val="zh-CN"/>
        </w:rPr>
        <w:t>%+</w:t>
      </w:r>
      <w:r>
        <w:rPr>
          <w:rFonts w:hint="eastAsia"/>
          <w:sz w:val="24"/>
          <w:lang w:val="zh-CN"/>
        </w:rPr>
        <w:t>（</w:t>
      </w:r>
      <w:r>
        <w:rPr>
          <w:sz w:val="24"/>
          <w:lang w:val="zh-CN"/>
        </w:rPr>
        <w:t>680</w:t>
      </w:r>
      <w:r>
        <w:rPr>
          <w:rFonts w:hint="eastAsia"/>
          <w:sz w:val="24"/>
          <w:lang w:val="zh-CN"/>
        </w:rPr>
        <w:t>5000</w:t>
      </w:r>
      <w:r>
        <w:rPr>
          <w:sz w:val="24"/>
          <w:lang w:val="zh-CN"/>
        </w:rPr>
        <w:t>-500</w:t>
      </w:r>
      <w:r>
        <w:rPr>
          <w:rFonts w:hint="eastAsia"/>
          <w:sz w:val="24"/>
          <w:lang w:val="zh-CN"/>
        </w:rPr>
        <w:t>0000）</w:t>
      </w:r>
      <w:r>
        <w:rPr>
          <w:sz w:val="24"/>
          <w:lang w:val="zh-CN"/>
        </w:rPr>
        <w:t>×0.</w:t>
      </w:r>
      <w:r>
        <w:rPr>
          <w:rFonts w:hint="eastAsia"/>
          <w:sz w:val="24"/>
          <w:lang w:val="zh-CN"/>
        </w:rPr>
        <w:t>65</w:t>
      </w:r>
      <w:r>
        <w:rPr>
          <w:sz w:val="24"/>
          <w:lang w:val="zh-CN"/>
        </w:rPr>
        <w:t>%=</w:t>
      </w:r>
      <w:r>
        <w:rPr>
          <w:rFonts w:hint="eastAsia"/>
          <w:sz w:val="24"/>
          <w:lang w:val="zh-CN"/>
        </w:rPr>
        <w:t>53732.5</w:t>
      </w:r>
      <w:r>
        <w:rPr>
          <w:sz w:val="24"/>
          <w:lang w:val="zh-CN"/>
        </w:rPr>
        <w:t>元，服务费</w:t>
      </w:r>
      <w:r>
        <w:rPr>
          <w:rFonts w:hint="eastAsia"/>
          <w:sz w:val="24"/>
          <w:lang w:val="zh-CN"/>
        </w:rPr>
        <w:t>缴纳53732元。</w:t>
      </w:r>
      <w:r>
        <w:rPr>
          <w:sz w:val="24"/>
          <w:lang w:val="zh-CN"/>
        </w:rPr>
        <w:t>其中中标金额以《中标通知书》为准。</w:t>
      </w:r>
    </w:p>
    <w:p w14:paraId="444E7C01">
      <w:pPr>
        <w:tabs>
          <w:tab w:val="left" w:pos="700"/>
        </w:tabs>
        <w:autoSpaceDE w:val="0"/>
        <w:autoSpaceDN w:val="0"/>
        <w:adjustRightInd w:val="0"/>
        <w:spacing w:line="360" w:lineRule="auto"/>
        <w:ind w:firstLine="480" w:firstLineChars="200"/>
        <w:rPr>
          <w:sz w:val="24"/>
          <w:szCs w:val="24"/>
          <w:lang w:val="zh-CN"/>
        </w:rPr>
      </w:pPr>
      <w:r>
        <w:rPr>
          <w:rFonts w:hint="eastAsia"/>
          <w:sz w:val="24"/>
          <w:szCs w:val="24"/>
        </w:rPr>
        <w:t>中标供应商应于中标公告发布之日起5个工作日内缴纳</w:t>
      </w:r>
      <w:r>
        <w:rPr>
          <w:rFonts w:hint="eastAsia"/>
          <w:sz w:val="24"/>
          <w:szCs w:val="24"/>
          <w:lang w:val="zh-CN"/>
        </w:rPr>
        <w:t>招标代理服务费，缴费单位名称须与投标单位名称一致，缴费时请注明项目编号及中标包号。</w:t>
      </w:r>
    </w:p>
    <w:p w14:paraId="481DDF5D">
      <w:pPr>
        <w:pStyle w:val="23"/>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名        称：天津市公共资源交易中心</w:t>
      </w:r>
    </w:p>
    <w:p w14:paraId="19F3ADFB">
      <w:pPr>
        <w:pStyle w:val="23"/>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开户行及账号：中国建设银行股份有限公司天津明华支行 </w:t>
      </w:r>
    </w:p>
    <w:p w14:paraId="144BB56E">
      <w:pPr>
        <w:pStyle w:val="23"/>
        <w:spacing w:line="360" w:lineRule="auto"/>
        <w:ind w:firstLine="2152" w:firstLineChars="897"/>
        <w:rPr>
          <w:rFonts w:ascii="Times New Roman" w:hAnsi="Times New Roman" w:eastAsia="宋体" w:cs="Times New Roman"/>
          <w:color w:val="auto"/>
        </w:rPr>
      </w:pPr>
      <w:r>
        <w:rPr>
          <w:rFonts w:ascii="Times New Roman" w:hAnsi="Times New Roman" w:eastAsia="宋体" w:cs="Times New Roman"/>
          <w:color w:val="auto"/>
        </w:rPr>
        <w:t>1205 0162 4900 0000 0675</w:t>
      </w:r>
    </w:p>
    <w:p w14:paraId="590B22C4">
      <w:pPr>
        <w:pStyle w:val="23"/>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银行联行号：105110039436</w:t>
      </w:r>
    </w:p>
    <w:p w14:paraId="72DFE919">
      <w:pPr>
        <w:pStyle w:val="23"/>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纳税人识别号：1212 0000 MB1E 44809C</w:t>
      </w:r>
    </w:p>
    <w:p w14:paraId="171218A8">
      <w:pPr>
        <w:pStyle w:val="23"/>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地址：天津市河东区红星路79号</w:t>
      </w:r>
    </w:p>
    <w:p w14:paraId="67085A70">
      <w:pPr>
        <w:pStyle w:val="23"/>
        <w:spacing w:line="360" w:lineRule="auto"/>
        <w:ind w:firstLine="480" w:firstLineChars="200"/>
        <w:jc w:val="both"/>
        <w:rPr>
          <w:rFonts w:ascii="Times New Roman" w:hAnsi="Times New Roman" w:eastAsia="宋体" w:cs="Times New Roman"/>
          <w:color w:val="auto"/>
          <w:kern w:val="2"/>
          <w:lang w:val="zh-CN"/>
        </w:rPr>
      </w:pPr>
      <w:r>
        <w:rPr>
          <w:rFonts w:hint="eastAsia" w:ascii="Times New Roman" w:hAnsi="Times New Roman" w:eastAsia="宋体" w:cs="Times New Roman"/>
          <w:color w:val="auto"/>
          <w:kern w:val="2"/>
          <w:lang w:val="zh-CN"/>
        </w:rPr>
        <w:t>缴费及开票咨询电话：022-24532012</w:t>
      </w:r>
    </w:p>
    <w:p w14:paraId="7D8F0CEA">
      <w:pPr>
        <w:pStyle w:val="23"/>
        <w:spacing w:line="360" w:lineRule="auto"/>
        <w:ind w:firstLine="480" w:firstLineChars="200"/>
        <w:jc w:val="both"/>
        <w:rPr>
          <w:color w:val="auto"/>
          <w:lang w:val="zh-CN"/>
        </w:rPr>
      </w:pPr>
    </w:p>
    <w:p w14:paraId="20026337">
      <w:pPr>
        <w:pStyle w:val="23"/>
        <w:spacing w:line="360" w:lineRule="auto"/>
        <w:jc w:val="both"/>
        <w:rPr>
          <w:rFonts w:eastAsiaTheme="minorEastAsia"/>
          <w:color w:val="auto"/>
        </w:rPr>
      </w:pPr>
    </w:p>
    <w:p w14:paraId="5F736BBE">
      <w:pPr>
        <w:pStyle w:val="23"/>
        <w:spacing w:line="360" w:lineRule="auto"/>
        <w:ind w:right="480"/>
        <w:jc w:val="right"/>
        <w:rPr>
          <w:rFonts w:ascii="Times New Roman" w:hAnsi="Times New Roman" w:eastAsia="宋体" w:cs="Times New Roman"/>
          <w:color w:val="auto"/>
        </w:rPr>
      </w:pPr>
      <w:r>
        <w:rPr>
          <w:rFonts w:ascii="Times New Roman" w:hAnsi="Times New Roman" w:eastAsia="宋体" w:cs="Times New Roman"/>
          <w:color w:val="auto"/>
        </w:rPr>
        <w:t>202</w:t>
      </w:r>
      <w:r>
        <w:rPr>
          <w:rFonts w:hint="eastAsia" w:ascii="Times New Roman" w:hAnsi="Times New Roman" w:eastAsia="宋体" w:cs="Times New Roman"/>
          <w:color w:val="auto"/>
        </w:rPr>
        <w:t>6</w:t>
      </w:r>
      <w:r>
        <w:rPr>
          <w:rFonts w:ascii="Times New Roman" w:hAnsi="Times New Roman" w:eastAsia="宋体" w:cs="Times New Roman"/>
          <w:color w:val="auto"/>
        </w:rPr>
        <w:t>年</w:t>
      </w:r>
      <w:r>
        <w:rPr>
          <w:rFonts w:hint="eastAsia" w:ascii="Times New Roman" w:hAnsi="Times New Roman" w:eastAsia="宋体" w:cs="Times New Roman"/>
          <w:color w:val="auto"/>
        </w:rPr>
        <w:t>9</w:t>
      </w:r>
      <w:r>
        <w:rPr>
          <w:rFonts w:ascii="Times New Roman" w:hAnsi="Times New Roman" w:eastAsia="宋体" w:cs="Times New Roman"/>
          <w:color w:val="auto"/>
        </w:rPr>
        <w:t>月</w:t>
      </w:r>
      <w:r>
        <w:rPr>
          <w:rFonts w:hint="eastAsia" w:ascii="Times New Roman" w:hAnsi="Times New Roman" w:eastAsia="宋体" w:cs="Times New Roman"/>
          <w:color w:val="auto"/>
        </w:rPr>
        <w:t>23</w:t>
      </w:r>
      <w:r>
        <w:rPr>
          <w:rFonts w:ascii="Times New Roman" w:hAnsi="Times New Roman" w:eastAsia="宋体" w:cs="Times New Roman"/>
          <w:color w:val="auto"/>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altName w:val="Kingsoft Confetti"/>
    <w:panose1 w:val="05000000000000000000"/>
    <w:charset w:val="02"/>
    <w:family w:val="auto"/>
    <w:pitch w:val="default"/>
    <w:sig w:usb0="00000000" w:usb1="00000000" w:usb2="00000000" w:usb3="00000000" w:csb0="80000000" w:csb1="00000000"/>
  </w:font>
  <w:font w:name="Kingsoft Confetti">
    <w:panose1 w:val="05000100010000000000"/>
    <w:charset w:val="00"/>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Cambria">
    <w:altName w:val="Georgia"/>
    <w:panose1 w:val="02040503050406030204"/>
    <w:charset w:val="00"/>
    <w:family w:val="roman"/>
    <w:pitch w:val="default"/>
    <w:sig w:usb0="00000000" w:usb1="00000000" w:usb2="02000000" w:usb3="00000000" w:csb0="0000019F" w:csb1="00000000"/>
  </w:font>
  <w:font w:name="Georgia">
    <w:panose1 w:val="02040502050405020303"/>
    <w:charset w:val="00"/>
    <w:family w:val="auto"/>
    <w:pitch w:val="default"/>
    <w:sig w:usb0="00000287" w:usb1="00000000" w:usb2="00000000" w:usb3="00000000" w:csb0="2000009F" w:csb1="00000000"/>
  </w:font>
  <w:font w:name=".......">
    <w:altName w:val="汉仪中黑KW"/>
    <w:panose1 w:val="00000000000000000000"/>
    <w:charset w:val="86"/>
    <w:family w:val="roman"/>
    <w:pitch w:val="default"/>
    <w:sig w:usb0="00000000" w:usb1="00000000" w:usb2="00000010" w:usb3="00000000" w:csb0="00040000" w:csb1="00000000"/>
  </w:font>
  <w:font w:name="微软雅黑">
    <w:altName w:val="汉仪旗黑KW 55S"/>
    <w:panose1 w:val="020B0503020204020204"/>
    <w:charset w:val="86"/>
    <w:family w:val="swiss"/>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Arial Unicode MS">
    <w:altName w:val="Arial"/>
    <w:panose1 w:val="020B0604020202020204"/>
    <w:charset w:val="86"/>
    <w:family w:val="swiss"/>
    <w:pitch w:val="default"/>
    <w:sig w:usb0="00000000" w:usb1="00000000" w:usb2="0000003F" w:usb3="00000000" w:csb0="003F01FF" w:csb1="00000000"/>
  </w:font>
  <w:font w:name="仿宋_GB2312">
    <w:altName w:val="汉仪仿宋KW"/>
    <w:panose1 w:val="00000000000000000000"/>
    <w:charset w:val="86"/>
    <w:family w:val="modern"/>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仿宋">
    <w:altName w:val="汉仪仿宋KW"/>
    <w:panose1 w:val="02010609060101010101"/>
    <w:charset w:val="86"/>
    <w:family w:val="modern"/>
    <w:pitch w:val="default"/>
    <w:sig w:usb0="00000000" w:usb1="0000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7F6A45"/>
    <w:multiLevelType w:val="multilevel"/>
    <w:tmpl w:val="367F6A45"/>
    <w:lvl w:ilvl="0" w:tentative="0">
      <w:start w:val="1"/>
      <w:numFmt w:val="decimal"/>
      <w:pStyle w:val="5"/>
      <w:lvlText w:val="%1."/>
      <w:lvlJc w:val="left"/>
      <w:pPr>
        <w:ind w:left="360" w:hanging="360"/>
      </w:pPr>
      <w:rPr>
        <w:rFonts w:hint="default"/>
      </w:rPr>
    </w:lvl>
    <w:lvl w:ilvl="1" w:tentative="0">
      <w:start w:val="1"/>
      <w:numFmt w:val="decimal"/>
      <w:pStyle w:val="4"/>
      <w:lvlText w:val="%1.%2"/>
      <w:lvlJc w:val="left"/>
      <w:pPr>
        <w:tabs>
          <w:tab w:val="left" w:pos="432"/>
        </w:tabs>
        <w:ind w:left="432" w:hanging="432"/>
      </w:pPr>
      <w:rPr>
        <w:rFonts w:hint="default"/>
      </w:rPr>
    </w:lvl>
    <w:lvl w:ilvl="2" w:tentative="0">
      <w:start w:val="1"/>
      <w:numFmt w:val="lowerLetter"/>
      <w:pStyle w:val="9"/>
      <w:lvlText w:val="%3."/>
      <w:lvlJc w:val="left"/>
      <w:pPr>
        <w:ind w:left="792" w:hanging="360"/>
      </w:pPr>
      <w:rPr>
        <w:rFonts w:hint="default"/>
      </w:rPr>
    </w:lvl>
    <w:lvl w:ilvl="3" w:tentative="0">
      <w:start w:val="1"/>
      <w:numFmt w:val="lowerRoman"/>
      <w:pStyle w:val="11"/>
      <w:lvlText w:val="%4."/>
      <w:lvlJc w:val="left"/>
      <w:pPr>
        <w:ind w:left="1152" w:hanging="360"/>
      </w:pPr>
      <w:rPr>
        <w:rFonts w:hint="default"/>
      </w:rPr>
    </w:lvl>
    <w:lvl w:ilvl="4" w:tentative="0">
      <w:start w:val="1"/>
      <w:numFmt w:val="lowerLetter"/>
      <w:pStyle w:val="15"/>
      <w:lvlText w:val="(%5)"/>
      <w:lvlJc w:val="left"/>
      <w:pPr>
        <w:ind w:left="1512" w:hanging="360"/>
      </w:pPr>
      <w:rPr>
        <w:rFonts w:hint="default"/>
      </w:rPr>
    </w:lvl>
    <w:lvl w:ilvl="5" w:tentative="0">
      <w:start w:val="1"/>
      <w:numFmt w:val="lowerRoman"/>
      <w:lvlText w:val="(%6)"/>
      <w:lvlJc w:val="left"/>
      <w:pPr>
        <w:ind w:left="1872" w:hanging="360"/>
      </w:pPr>
      <w:rPr>
        <w:rFonts w:hint="default"/>
      </w:rPr>
    </w:lvl>
    <w:lvl w:ilvl="6" w:tentative="0">
      <w:start w:val="1"/>
      <w:numFmt w:val="decimal"/>
      <w:lvlText w:val="%7."/>
      <w:lvlJc w:val="left"/>
      <w:pPr>
        <w:ind w:left="2232" w:hanging="360"/>
      </w:pPr>
      <w:rPr>
        <w:rFonts w:hint="default"/>
      </w:rPr>
    </w:lvl>
    <w:lvl w:ilvl="7" w:tentative="0">
      <w:start w:val="1"/>
      <w:numFmt w:val="lowerLetter"/>
      <w:lvlText w:val="%8."/>
      <w:lvlJc w:val="left"/>
      <w:pPr>
        <w:ind w:left="2592" w:hanging="360"/>
      </w:pPr>
      <w:rPr>
        <w:rFonts w:hint="default"/>
      </w:rPr>
    </w:lvl>
    <w:lvl w:ilvl="8" w:tentative="0">
      <w:start w:val="1"/>
      <w:numFmt w:val="lowerRoman"/>
      <w:lvlText w:val="%9."/>
      <w:lvlJc w:val="left"/>
      <w:pPr>
        <w:ind w:left="2952"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5F22"/>
    <w:rsid w:val="00000AB4"/>
    <w:rsid w:val="00005ACC"/>
    <w:rsid w:val="000215D0"/>
    <w:rsid w:val="00027E5B"/>
    <w:rsid w:val="00032893"/>
    <w:rsid w:val="00042008"/>
    <w:rsid w:val="00042069"/>
    <w:rsid w:val="00042265"/>
    <w:rsid w:val="000524AB"/>
    <w:rsid w:val="00054420"/>
    <w:rsid w:val="00057B1A"/>
    <w:rsid w:val="00057E92"/>
    <w:rsid w:val="00065446"/>
    <w:rsid w:val="0006750A"/>
    <w:rsid w:val="0007055F"/>
    <w:rsid w:val="00077156"/>
    <w:rsid w:val="0007722B"/>
    <w:rsid w:val="00087C8F"/>
    <w:rsid w:val="000922AE"/>
    <w:rsid w:val="000930FA"/>
    <w:rsid w:val="0009652C"/>
    <w:rsid w:val="000A065D"/>
    <w:rsid w:val="000A28A1"/>
    <w:rsid w:val="000A45BC"/>
    <w:rsid w:val="000A517C"/>
    <w:rsid w:val="000A78D5"/>
    <w:rsid w:val="000B5227"/>
    <w:rsid w:val="000B6D3C"/>
    <w:rsid w:val="000C38ED"/>
    <w:rsid w:val="000C4542"/>
    <w:rsid w:val="000C623F"/>
    <w:rsid w:val="000D0DBE"/>
    <w:rsid w:val="000D245D"/>
    <w:rsid w:val="000D7662"/>
    <w:rsid w:val="000E1305"/>
    <w:rsid w:val="000E2AF2"/>
    <w:rsid w:val="00110EFF"/>
    <w:rsid w:val="00112860"/>
    <w:rsid w:val="00113FBD"/>
    <w:rsid w:val="001169B0"/>
    <w:rsid w:val="00124A22"/>
    <w:rsid w:val="001268F7"/>
    <w:rsid w:val="00127006"/>
    <w:rsid w:val="00130965"/>
    <w:rsid w:val="00131302"/>
    <w:rsid w:val="00133B7D"/>
    <w:rsid w:val="00142F49"/>
    <w:rsid w:val="00154558"/>
    <w:rsid w:val="00157139"/>
    <w:rsid w:val="00161CCA"/>
    <w:rsid w:val="00171F5A"/>
    <w:rsid w:val="00174244"/>
    <w:rsid w:val="00192647"/>
    <w:rsid w:val="0019384F"/>
    <w:rsid w:val="00197BC1"/>
    <w:rsid w:val="001B6EDB"/>
    <w:rsid w:val="001B7A62"/>
    <w:rsid w:val="001C3158"/>
    <w:rsid w:val="001C4AC2"/>
    <w:rsid w:val="001C5E66"/>
    <w:rsid w:val="001C7856"/>
    <w:rsid w:val="001D12EE"/>
    <w:rsid w:val="001D2735"/>
    <w:rsid w:val="001D3E92"/>
    <w:rsid w:val="001D484C"/>
    <w:rsid w:val="001D59A8"/>
    <w:rsid w:val="001D6B6D"/>
    <w:rsid w:val="001D6C62"/>
    <w:rsid w:val="001E18BA"/>
    <w:rsid w:val="001E6A9B"/>
    <w:rsid w:val="0021010B"/>
    <w:rsid w:val="00220531"/>
    <w:rsid w:val="00226160"/>
    <w:rsid w:val="00233A16"/>
    <w:rsid w:val="002407EC"/>
    <w:rsid w:val="00241CF7"/>
    <w:rsid w:val="0024227C"/>
    <w:rsid w:val="00242B8C"/>
    <w:rsid w:val="0025155F"/>
    <w:rsid w:val="00254734"/>
    <w:rsid w:val="002632CD"/>
    <w:rsid w:val="00263393"/>
    <w:rsid w:val="0026358A"/>
    <w:rsid w:val="0026560F"/>
    <w:rsid w:val="00266681"/>
    <w:rsid w:val="0027514A"/>
    <w:rsid w:val="00277ADF"/>
    <w:rsid w:val="00286222"/>
    <w:rsid w:val="00292AC3"/>
    <w:rsid w:val="00292C23"/>
    <w:rsid w:val="002953A1"/>
    <w:rsid w:val="00295B82"/>
    <w:rsid w:val="002A4BDC"/>
    <w:rsid w:val="002A5F0F"/>
    <w:rsid w:val="002A7FD6"/>
    <w:rsid w:val="002B0079"/>
    <w:rsid w:val="002B7B67"/>
    <w:rsid w:val="002C3415"/>
    <w:rsid w:val="002C58A2"/>
    <w:rsid w:val="002C5D91"/>
    <w:rsid w:val="002D11C9"/>
    <w:rsid w:val="002D1B0A"/>
    <w:rsid w:val="002E13B7"/>
    <w:rsid w:val="002E39A4"/>
    <w:rsid w:val="002E53DA"/>
    <w:rsid w:val="002E7464"/>
    <w:rsid w:val="002E7AA2"/>
    <w:rsid w:val="002F29F0"/>
    <w:rsid w:val="002F5737"/>
    <w:rsid w:val="00301468"/>
    <w:rsid w:val="0030653F"/>
    <w:rsid w:val="00314539"/>
    <w:rsid w:val="00315CB4"/>
    <w:rsid w:val="00315CCC"/>
    <w:rsid w:val="0031777F"/>
    <w:rsid w:val="003202F9"/>
    <w:rsid w:val="003258E5"/>
    <w:rsid w:val="003278F4"/>
    <w:rsid w:val="00335E64"/>
    <w:rsid w:val="00336251"/>
    <w:rsid w:val="003423CA"/>
    <w:rsid w:val="00345927"/>
    <w:rsid w:val="003474F7"/>
    <w:rsid w:val="00347AC6"/>
    <w:rsid w:val="003503FD"/>
    <w:rsid w:val="0035677A"/>
    <w:rsid w:val="003605C7"/>
    <w:rsid w:val="00363FCB"/>
    <w:rsid w:val="00370E0E"/>
    <w:rsid w:val="00376B9A"/>
    <w:rsid w:val="00384331"/>
    <w:rsid w:val="00391F63"/>
    <w:rsid w:val="003944BF"/>
    <w:rsid w:val="003952F0"/>
    <w:rsid w:val="003A5650"/>
    <w:rsid w:val="003A788E"/>
    <w:rsid w:val="003A79E2"/>
    <w:rsid w:val="003B5490"/>
    <w:rsid w:val="003C0A21"/>
    <w:rsid w:val="003C0CDB"/>
    <w:rsid w:val="003C28FD"/>
    <w:rsid w:val="003C2AB0"/>
    <w:rsid w:val="003C6C60"/>
    <w:rsid w:val="003D351D"/>
    <w:rsid w:val="003D65DA"/>
    <w:rsid w:val="003E06DF"/>
    <w:rsid w:val="003E43B6"/>
    <w:rsid w:val="003E6EBA"/>
    <w:rsid w:val="003F1180"/>
    <w:rsid w:val="003F227B"/>
    <w:rsid w:val="003F33FF"/>
    <w:rsid w:val="003F40BC"/>
    <w:rsid w:val="003F43D7"/>
    <w:rsid w:val="003F53EF"/>
    <w:rsid w:val="003F65D2"/>
    <w:rsid w:val="003F6CD4"/>
    <w:rsid w:val="00406C20"/>
    <w:rsid w:val="004117E8"/>
    <w:rsid w:val="00411950"/>
    <w:rsid w:val="00412F47"/>
    <w:rsid w:val="004150C0"/>
    <w:rsid w:val="00416AF2"/>
    <w:rsid w:val="00424865"/>
    <w:rsid w:val="00431EB3"/>
    <w:rsid w:val="00432192"/>
    <w:rsid w:val="004403FC"/>
    <w:rsid w:val="00442DCB"/>
    <w:rsid w:val="00443604"/>
    <w:rsid w:val="00443FDF"/>
    <w:rsid w:val="00444D1F"/>
    <w:rsid w:val="00444E29"/>
    <w:rsid w:val="00445095"/>
    <w:rsid w:val="00445127"/>
    <w:rsid w:val="00462702"/>
    <w:rsid w:val="00462AC4"/>
    <w:rsid w:val="00467824"/>
    <w:rsid w:val="004824D5"/>
    <w:rsid w:val="00485271"/>
    <w:rsid w:val="00485AA9"/>
    <w:rsid w:val="00494605"/>
    <w:rsid w:val="004947A4"/>
    <w:rsid w:val="004A1AC8"/>
    <w:rsid w:val="004A4D08"/>
    <w:rsid w:val="004A6609"/>
    <w:rsid w:val="004B0329"/>
    <w:rsid w:val="004B4C9D"/>
    <w:rsid w:val="004C003E"/>
    <w:rsid w:val="004C0736"/>
    <w:rsid w:val="004C18CA"/>
    <w:rsid w:val="004C6588"/>
    <w:rsid w:val="004D23FF"/>
    <w:rsid w:val="004D6114"/>
    <w:rsid w:val="004D6D31"/>
    <w:rsid w:val="004D739E"/>
    <w:rsid w:val="004E1A73"/>
    <w:rsid w:val="004E5124"/>
    <w:rsid w:val="004F080B"/>
    <w:rsid w:val="004F2317"/>
    <w:rsid w:val="00501150"/>
    <w:rsid w:val="00504F5B"/>
    <w:rsid w:val="0050519F"/>
    <w:rsid w:val="00510E1D"/>
    <w:rsid w:val="00523D8D"/>
    <w:rsid w:val="0052730E"/>
    <w:rsid w:val="0053043B"/>
    <w:rsid w:val="0054562A"/>
    <w:rsid w:val="00547542"/>
    <w:rsid w:val="00555F22"/>
    <w:rsid w:val="0055672C"/>
    <w:rsid w:val="00561F4E"/>
    <w:rsid w:val="00570FED"/>
    <w:rsid w:val="00581869"/>
    <w:rsid w:val="00583EAF"/>
    <w:rsid w:val="00585BD4"/>
    <w:rsid w:val="00591A18"/>
    <w:rsid w:val="00597269"/>
    <w:rsid w:val="005A19A9"/>
    <w:rsid w:val="005A5C49"/>
    <w:rsid w:val="005B33F4"/>
    <w:rsid w:val="005B436C"/>
    <w:rsid w:val="005B688A"/>
    <w:rsid w:val="005C0B26"/>
    <w:rsid w:val="005D6940"/>
    <w:rsid w:val="005E0B0A"/>
    <w:rsid w:val="005E20B6"/>
    <w:rsid w:val="005F1FA5"/>
    <w:rsid w:val="006010C0"/>
    <w:rsid w:val="006011A6"/>
    <w:rsid w:val="006043A7"/>
    <w:rsid w:val="00610A32"/>
    <w:rsid w:val="00612ED6"/>
    <w:rsid w:val="0061339D"/>
    <w:rsid w:val="0061576E"/>
    <w:rsid w:val="00616605"/>
    <w:rsid w:val="006248F5"/>
    <w:rsid w:val="0063135B"/>
    <w:rsid w:val="00634081"/>
    <w:rsid w:val="00636FDF"/>
    <w:rsid w:val="006463AB"/>
    <w:rsid w:val="00647DD9"/>
    <w:rsid w:val="00654388"/>
    <w:rsid w:val="0065463F"/>
    <w:rsid w:val="0065497C"/>
    <w:rsid w:val="00654CE5"/>
    <w:rsid w:val="006656B6"/>
    <w:rsid w:val="0066703E"/>
    <w:rsid w:val="006675B2"/>
    <w:rsid w:val="00667ABE"/>
    <w:rsid w:val="00673FA9"/>
    <w:rsid w:val="00675E20"/>
    <w:rsid w:val="00682CAF"/>
    <w:rsid w:val="00690FD1"/>
    <w:rsid w:val="0069118B"/>
    <w:rsid w:val="0069124B"/>
    <w:rsid w:val="0069297E"/>
    <w:rsid w:val="0069558F"/>
    <w:rsid w:val="006A62BD"/>
    <w:rsid w:val="006A6D6F"/>
    <w:rsid w:val="006B3AD6"/>
    <w:rsid w:val="006B4A37"/>
    <w:rsid w:val="006B6349"/>
    <w:rsid w:val="006C0BC5"/>
    <w:rsid w:val="006C182A"/>
    <w:rsid w:val="006E017F"/>
    <w:rsid w:val="006E08B0"/>
    <w:rsid w:val="006E3B30"/>
    <w:rsid w:val="006E5EF1"/>
    <w:rsid w:val="006E67B7"/>
    <w:rsid w:val="0070021E"/>
    <w:rsid w:val="007022C3"/>
    <w:rsid w:val="00703FA0"/>
    <w:rsid w:val="00704745"/>
    <w:rsid w:val="00705C1F"/>
    <w:rsid w:val="00710560"/>
    <w:rsid w:val="0072123A"/>
    <w:rsid w:val="0072524A"/>
    <w:rsid w:val="0072720A"/>
    <w:rsid w:val="00730505"/>
    <w:rsid w:val="00736747"/>
    <w:rsid w:val="0074410B"/>
    <w:rsid w:val="007441F5"/>
    <w:rsid w:val="007451B5"/>
    <w:rsid w:val="00752982"/>
    <w:rsid w:val="00753AD4"/>
    <w:rsid w:val="007602FF"/>
    <w:rsid w:val="00760D27"/>
    <w:rsid w:val="0076657A"/>
    <w:rsid w:val="00767E85"/>
    <w:rsid w:val="0077650E"/>
    <w:rsid w:val="007774A3"/>
    <w:rsid w:val="00780994"/>
    <w:rsid w:val="00790EDC"/>
    <w:rsid w:val="00791DCD"/>
    <w:rsid w:val="00797CF8"/>
    <w:rsid w:val="007A78D8"/>
    <w:rsid w:val="007A7ADA"/>
    <w:rsid w:val="007B082B"/>
    <w:rsid w:val="007B44DA"/>
    <w:rsid w:val="007C2FF4"/>
    <w:rsid w:val="007C30BB"/>
    <w:rsid w:val="007C4B7B"/>
    <w:rsid w:val="007E559A"/>
    <w:rsid w:val="007E7ACA"/>
    <w:rsid w:val="007F4D15"/>
    <w:rsid w:val="007F7AEE"/>
    <w:rsid w:val="00800529"/>
    <w:rsid w:val="00803006"/>
    <w:rsid w:val="0080367A"/>
    <w:rsid w:val="00807B6E"/>
    <w:rsid w:val="00811F02"/>
    <w:rsid w:val="00814330"/>
    <w:rsid w:val="008219FD"/>
    <w:rsid w:val="00822EC8"/>
    <w:rsid w:val="00824090"/>
    <w:rsid w:val="008266ED"/>
    <w:rsid w:val="00833458"/>
    <w:rsid w:val="00836A70"/>
    <w:rsid w:val="0084230D"/>
    <w:rsid w:val="008437B1"/>
    <w:rsid w:val="00847815"/>
    <w:rsid w:val="00856CDB"/>
    <w:rsid w:val="008573AF"/>
    <w:rsid w:val="008607E1"/>
    <w:rsid w:val="00866405"/>
    <w:rsid w:val="008707B6"/>
    <w:rsid w:val="00884E5E"/>
    <w:rsid w:val="008911F0"/>
    <w:rsid w:val="008912D9"/>
    <w:rsid w:val="008926EB"/>
    <w:rsid w:val="00895A09"/>
    <w:rsid w:val="008A18E7"/>
    <w:rsid w:val="008A5833"/>
    <w:rsid w:val="008B02AA"/>
    <w:rsid w:val="008B474B"/>
    <w:rsid w:val="008B798A"/>
    <w:rsid w:val="008C7A58"/>
    <w:rsid w:val="008D24B8"/>
    <w:rsid w:val="008E20F6"/>
    <w:rsid w:val="008E2EE8"/>
    <w:rsid w:val="008F3853"/>
    <w:rsid w:val="008F7605"/>
    <w:rsid w:val="009012DF"/>
    <w:rsid w:val="00911315"/>
    <w:rsid w:val="00913EE9"/>
    <w:rsid w:val="00914948"/>
    <w:rsid w:val="0092087C"/>
    <w:rsid w:val="00930B33"/>
    <w:rsid w:val="009348FC"/>
    <w:rsid w:val="00935E81"/>
    <w:rsid w:val="009407EF"/>
    <w:rsid w:val="00940AF3"/>
    <w:rsid w:val="00942438"/>
    <w:rsid w:val="00945801"/>
    <w:rsid w:val="00946A44"/>
    <w:rsid w:val="00956E8A"/>
    <w:rsid w:val="00963F98"/>
    <w:rsid w:val="00963F9A"/>
    <w:rsid w:val="00964B55"/>
    <w:rsid w:val="00967B94"/>
    <w:rsid w:val="00977FAD"/>
    <w:rsid w:val="009804C4"/>
    <w:rsid w:val="00983424"/>
    <w:rsid w:val="00990A31"/>
    <w:rsid w:val="009919BB"/>
    <w:rsid w:val="009A1BB3"/>
    <w:rsid w:val="009A2E4D"/>
    <w:rsid w:val="009A4BBF"/>
    <w:rsid w:val="009A4E2D"/>
    <w:rsid w:val="009A56B6"/>
    <w:rsid w:val="009A7342"/>
    <w:rsid w:val="009B0249"/>
    <w:rsid w:val="009B58FE"/>
    <w:rsid w:val="009B69FB"/>
    <w:rsid w:val="009B7939"/>
    <w:rsid w:val="009C4068"/>
    <w:rsid w:val="009D0BF3"/>
    <w:rsid w:val="009D2A19"/>
    <w:rsid w:val="009D3995"/>
    <w:rsid w:val="009E5CA1"/>
    <w:rsid w:val="009E67EF"/>
    <w:rsid w:val="00A023EF"/>
    <w:rsid w:val="00A05451"/>
    <w:rsid w:val="00A129F1"/>
    <w:rsid w:val="00A2527B"/>
    <w:rsid w:val="00A26478"/>
    <w:rsid w:val="00A37477"/>
    <w:rsid w:val="00A40887"/>
    <w:rsid w:val="00A40B79"/>
    <w:rsid w:val="00A41978"/>
    <w:rsid w:val="00A420C7"/>
    <w:rsid w:val="00A42290"/>
    <w:rsid w:val="00A47658"/>
    <w:rsid w:val="00A654D2"/>
    <w:rsid w:val="00A67CCB"/>
    <w:rsid w:val="00A80343"/>
    <w:rsid w:val="00A834EB"/>
    <w:rsid w:val="00A85731"/>
    <w:rsid w:val="00A8785A"/>
    <w:rsid w:val="00A87887"/>
    <w:rsid w:val="00A92AA8"/>
    <w:rsid w:val="00A93C6D"/>
    <w:rsid w:val="00A95970"/>
    <w:rsid w:val="00A968B1"/>
    <w:rsid w:val="00AA6CE0"/>
    <w:rsid w:val="00AB56D0"/>
    <w:rsid w:val="00AB5746"/>
    <w:rsid w:val="00AE3B56"/>
    <w:rsid w:val="00AE5FF2"/>
    <w:rsid w:val="00AE660B"/>
    <w:rsid w:val="00AE6964"/>
    <w:rsid w:val="00AF0179"/>
    <w:rsid w:val="00AF3987"/>
    <w:rsid w:val="00B01945"/>
    <w:rsid w:val="00B032F4"/>
    <w:rsid w:val="00B06115"/>
    <w:rsid w:val="00B207C8"/>
    <w:rsid w:val="00B24CD1"/>
    <w:rsid w:val="00B35FC0"/>
    <w:rsid w:val="00B37C3B"/>
    <w:rsid w:val="00B4123F"/>
    <w:rsid w:val="00B42C44"/>
    <w:rsid w:val="00B42EF0"/>
    <w:rsid w:val="00B47A92"/>
    <w:rsid w:val="00B629C0"/>
    <w:rsid w:val="00B63722"/>
    <w:rsid w:val="00B65D48"/>
    <w:rsid w:val="00B76992"/>
    <w:rsid w:val="00B77610"/>
    <w:rsid w:val="00B831AC"/>
    <w:rsid w:val="00B837CF"/>
    <w:rsid w:val="00B84490"/>
    <w:rsid w:val="00B84C08"/>
    <w:rsid w:val="00B85D72"/>
    <w:rsid w:val="00B868A5"/>
    <w:rsid w:val="00B86D1A"/>
    <w:rsid w:val="00B93C91"/>
    <w:rsid w:val="00B946C4"/>
    <w:rsid w:val="00B97F62"/>
    <w:rsid w:val="00BA1043"/>
    <w:rsid w:val="00BA1706"/>
    <w:rsid w:val="00BA21CB"/>
    <w:rsid w:val="00BB76DE"/>
    <w:rsid w:val="00BB789B"/>
    <w:rsid w:val="00BB7D8B"/>
    <w:rsid w:val="00BC1B31"/>
    <w:rsid w:val="00BC1F08"/>
    <w:rsid w:val="00BC4FC0"/>
    <w:rsid w:val="00BD5B04"/>
    <w:rsid w:val="00BE7560"/>
    <w:rsid w:val="00BE7BA0"/>
    <w:rsid w:val="00BF24CA"/>
    <w:rsid w:val="00BF395A"/>
    <w:rsid w:val="00BF4587"/>
    <w:rsid w:val="00BF4D2B"/>
    <w:rsid w:val="00BF786F"/>
    <w:rsid w:val="00C04A59"/>
    <w:rsid w:val="00C07D47"/>
    <w:rsid w:val="00C113D7"/>
    <w:rsid w:val="00C143A4"/>
    <w:rsid w:val="00C147F1"/>
    <w:rsid w:val="00C237B8"/>
    <w:rsid w:val="00C23FD7"/>
    <w:rsid w:val="00C31B65"/>
    <w:rsid w:val="00C338BA"/>
    <w:rsid w:val="00C43FBD"/>
    <w:rsid w:val="00C54E5A"/>
    <w:rsid w:val="00C56B2B"/>
    <w:rsid w:val="00C61DAD"/>
    <w:rsid w:val="00C63C71"/>
    <w:rsid w:val="00C65725"/>
    <w:rsid w:val="00C661DE"/>
    <w:rsid w:val="00C714E5"/>
    <w:rsid w:val="00C73D7C"/>
    <w:rsid w:val="00C74303"/>
    <w:rsid w:val="00C7657D"/>
    <w:rsid w:val="00C91578"/>
    <w:rsid w:val="00C96C18"/>
    <w:rsid w:val="00C9701C"/>
    <w:rsid w:val="00C97EDE"/>
    <w:rsid w:val="00CA3FDF"/>
    <w:rsid w:val="00CA745F"/>
    <w:rsid w:val="00CA7DB9"/>
    <w:rsid w:val="00CB6EB4"/>
    <w:rsid w:val="00CB7671"/>
    <w:rsid w:val="00CC5FC9"/>
    <w:rsid w:val="00CC6B45"/>
    <w:rsid w:val="00CE4EF3"/>
    <w:rsid w:val="00CE51A8"/>
    <w:rsid w:val="00CF06DB"/>
    <w:rsid w:val="00CF7FCE"/>
    <w:rsid w:val="00D0003E"/>
    <w:rsid w:val="00D05E41"/>
    <w:rsid w:val="00D13B0F"/>
    <w:rsid w:val="00D15609"/>
    <w:rsid w:val="00D21737"/>
    <w:rsid w:val="00D23D09"/>
    <w:rsid w:val="00D34611"/>
    <w:rsid w:val="00D37865"/>
    <w:rsid w:val="00D41482"/>
    <w:rsid w:val="00D429F4"/>
    <w:rsid w:val="00D43476"/>
    <w:rsid w:val="00D5422C"/>
    <w:rsid w:val="00D72418"/>
    <w:rsid w:val="00D7503F"/>
    <w:rsid w:val="00D837EB"/>
    <w:rsid w:val="00D83D18"/>
    <w:rsid w:val="00D900D5"/>
    <w:rsid w:val="00D901BC"/>
    <w:rsid w:val="00D93907"/>
    <w:rsid w:val="00D94DE7"/>
    <w:rsid w:val="00D97F6C"/>
    <w:rsid w:val="00DA0EC5"/>
    <w:rsid w:val="00DA1E03"/>
    <w:rsid w:val="00DB59F8"/>
    <w:rsid w:val="00DB6F6D"/>
    <w:rsid w:val="00DB773B"/>
    <w:rsid w:val="00DC285D"/>
    <w:rsid w:val="00DC5729"/>
    <w:rsid w:val="00DD71B1"/>
    <w:rsid w:val="00DE7897"/>
    <w:rsid w:val="00DF2DB7"/>
    <w:rsid w:val="00E05C29"/>
    <w:rsid w:val="00E11D4D"/>
    <w:rsid w:val="00E159A2"/>
    <w:rsid w:val="00E166E7"/>
    <w:rsid w:val="00E207BD"/>
    <w:rsid w:val="00E22856"/>
    <w:rsid w:val="00E22DA7"/>
    <w:rsid w:val="00E2783B"/>
    <w:rsid w:val="00E27931"/>
    <w:rsid w:val="00E33C29"/>
    <w:rsid w:val="00E348A5"/>
    <w:rsid w:val="00E3527F"/>
    <w:rsid w:val="00E360EE"/>
    <w:rsid w:val="00E4239C"/>
    <w:rsid w:val="00E45A65"/>
    <w:rsid w:val="00E4629C"/>
    <w:rsid w:val="00E5213C"/>
    <w:rsid w:val="00E54D87"/>
    <w:rsid w:val="00E55BAE"/>
    <w:rsid w:val="00E633C9"/>
    <w:rsid w:val="00E640AE"/>
    <w:rsid w:val="00E651EC"/>
    <w:rsid w:val="00E66E30"/>
    <w:rsid w:val="00E671FB"/>
    <w:rsid w:val="00E7082C"/>
    <w:rsid w:val="00E70FFD"/>
    <w:rsid w:val="00E72A0C"/>
    <w:rsid w:val="00E75AD9"/>
    <w:rsid w:val="00E75B50"/>
    <w:rsid w:val="00E92ACC"/>
    <w:rsid w:val="00E93B2F"/>
    <w:rsid w:val="00EA267C"/>
    <w:rsid w:val="00EA3B30"/>
    <w:rsid w:val="00EA5E74"/>
    <w:rsid w:val="00EA6331"/>
    <w:rsid w:val="00EA7D98"/>
    <w:rsid w:val="00EB555C"/>
    <w:rsid w:val="00EB57E5"/>
    <w:rsid w:val="00EB6B77"/>
    <w:rsid w:val="00EC11BF"/>
    <w:rsid w:val="00EC2BF4"/>
    <w:rsid w:val="00EC2D14"/>
    <w:rsid w:val="00EC4F46"/>
    <w:rsid w:val="00ED47EB"/>
    <w:rsid w:val="00EE5736"/>
    <w:rsid w:val="00EF0C9D"/>
    <w:rsid w:val="00F00508"/>
    <w:rsid w:val="00F1105B"/>
    <w:rsid w:val="00F11A0A"/>
    <w:rsid w:val="00F1362B"/>
    <w:rsid w:val="00F3169E"/>
    <w:rsid w:val="00F32E44"/>
    <w:rsid w:val="00F41B2B"/>
    <w:rsid w:val="00F5051D"/>
    <w:rsid w:val="00F52BB9"/>
    <w:rsid w:val="00F57030"/>
    <w:rsid w:val="00F6095D"/>
    <w:rsid w:val="00F73162"/>
    <w:rsid w:val="00F73639"/>
    <w:rsid w:val="00F82072"/>
    <w:rsid w:val="00F83052"/>
    <w:rsid w:val="00F8375A"/>
    <w:rsid w:val="00F857F2"/>
    <w:rsid w:val="00F92561"/>
    <w:rsid w:val="00F92FD9"/>
    <w:rsid w:val="00F96D3C"/>
    <w:rsid w:val="00F97499"/>
    <w:rsid w:val="00FA5513"/>
    <w:rsid w:val="00FA5764"/>
    <w:rsid w:val="00FB3D92"/>
    <w:rsid w:val="00FC14F0"/>
    <w:rsid w:val="00FC7FCD"/>
    <w:rsid w:val="00FD3D4B"/>
    <w:rsid w:val="00FE1188"/>
    <w:rsid w:val="00FE52E7"/>
    <w:rsid w:val="00FE7524"/>
    <w:rsid w:val="00FF4F26"/>
    <w:rsid w:val="00FF5612"/>
    <w:rsid w:val="ECF76F0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1"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iPriority="1" w:semiHidden="0" w:name="List Number 2"/>
    <w:lsdException w:qFormat="1" w:uiPriority="18" w:semiHidden="0" w:name="List Number 3"/>
    <w:lsdException w:qFormat="1" w:uiPriority="18" w:semiHidden="0" w:name="List Number 4"/>
    <w:lsdException w:qFormat="1" w:uiPriority="18" w:semiHidden="0"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0" w:semiHidden="0"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link w:val="35"/>
    <w:qFormat/>
    <w:uiPriority w:val="9"/>
    <w:pPr>
      <w:keepNext/>
      <w:keepLines/>
      <w:spacing w:before="260" w:after="260" w:line="416" w:lineRule="auto"/>
      <w:outlineLvl w:val="1"/>
    </w:pPr>
    <w:rPr>
      <w:rFonts w:ascii="Cambria" w:hAnsi="Cambria"/>
      <w:b/>
      <w:bCs/>
      <w:sz w:val="32"/>
      <w:szCs w:val="32"/>
    </w:rPr>
  </w:style>
  <w:style w:type="paragraph" w:styleId="3">
    <w:name w:val="heading 3"/>
    <w:basedOn w:val="1"/>
    <w:next w:val="1"/>
    <w:link w:val="34"/>
    <w:qFormat/>
    <w:uiPriority w:val="0"/>
    <w:pPr>
      <w:keepNext/>
      <w:keepLines/>
      <w:spacing w:before="260" w:after="260" w:line="416" w:lineRule="auto"/>
      <w:outlineLvl w:val="2"/>
    </w:pPr>
    <w:rPr>
      <w:rFonts w:ascii="Times New Roman" w:hAnsi="Times New Roman"/>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List Number 2"/>
    <w:basedOn w:val="1"/>
    <w:unhideWhenUsed/>
    <w:qFormat/>
    <w:uiPriority w:val="1"/>
    <w:pPr>
      <w:widowControl/>
      <w:numPr>
        <w:ilvl w:val="1"/>
        <w:numId w:val="1"/>
      </w:numPr>
      <w:ind w:left="431" w:hanging="431"/>
      <w:contextualSpacing/>
      <w:jc w:val="left"/>
    </w:pPr>
    <w:rPr>
      <w:rFonts w:eastAsia="微软雅黑" w:asciiTheme="minorHAnsi" w:hAnsiTheme="minorHAnsi" w:cstheme="minorBidi"/>
      <w:color w:val="595959" w:themeColor="text1" w:themeTint="A6"/>
      <w:kern w:val="20"/>
      <w:szCs w:val="20"/>
      <w:lang w:val="zh-CN"/>
      <w14:textFill>
        <w14:solidFill>
          <w14:schemeClr w14:val="tx1">
            <w14:lumMod w14:val="65000"/>
            <w14:lumOff w14:val="35000"/>
          </w14:schemeClr>
        </w14:solidFill>
      </w14:textFill>
    </w:rPr>
  </w:style>
  <w:style w:type="paragraph" w:styleId="5">
    <w:name w:val="List Number"/>
    <w:basedOn w:val="1"/>
    <w:unhideWhenUsed/>
    <w:qFormat/>
    <w:uiPriority w:val="1"/>
    <w:pPr>
      <w:widowControl/>
      <w:numPr>
        <w:ilvl w:val="0"/>
        <w:numId w:val="1"/>
      </w:numPr>
      <w:ind w:left="357" w:hanging="357"/>
      <w:contextualSpacing/>
      <w:jc w:val="left"/>
    </w:pPr>
    <w:rPr>
      <w:rFonts w:eastAsia="微软雅黑" w:asciiTheme="minorHAnsi" w:hAnsiTheme="minorHAnsi" w:cstheme="minorBidi"/>
      <w:color w:val="595959" w:themeColor="text1" w:themeTint="A6"/>
      <w:kern w:val="20"/>
      <w:szCs w:val="20"/>
      <w:lang w:val="zh-CN"/>
      <w14:textFill>
        <w14:solidFill>
          <w14:schemeClr w14:val="tx1">
            <w14:lumMod w14:val="65000"/>
            <w14:lumOff w14:val="35000"/>
          </w14:schemeClr>
        </w14:solidFill>
      </w14:textFill>
    </w:rPr>
  </w:style>
  <w:style w:type="paragraph" w:styleId="6">
    <w:name w:val="annotation text"/>
    <w:basedOn w:val="1"/>
    <w:link w:val="28"/>
    <w:unhideWhenUsed/>
    <w:qFormat/>
    <w:uiPriority w:val="99"/>
    <w:pPr>
      <w:jc w:val="left"/>
    </w:pPr>
    <w:rPr>
      <w:rFonts w:ascii="Times New Roman" w:hAnsi="Times New Roman"/>
      <w:szCs w:val="20"/>
    </w:rPr>
  </w:style>
  <w:style w:type="paragraph" w:styleId="7">
    <w:name w:val="Body Text"/>
    <w:basedOn w:val="1"/>
    <w:next w:val="1"/>
    <w:link w:val="36"/>
    <w:unhideWhenUsed/>
    <w:qFormat/>
    <w:uiPriority w:val="99"/>
    <w:pPr>
      <w:spacing w:after="120"/>
    </w:pPr>
    <w:rPr>
      <w:rFonts w:ascii="Times New Roman" w:hAnsi="Times New Roman"/>
      <w:szCs w:val="20"/>
    </w:rPr>
  </w:style>
  <w:style w:type="paragraph" w:styleId="8">
    <w:name w:val="Body Text Indent"/>
    <w:basedOn w:val="1"/>
    <w:link w:val="24"/>
    <w:qFormat/>
    <w:uiPriority w:val="0"/>
    <w:pPr>
      <w:tabs>
        <w:tab w:val="left" w:pos="480"/>
      </w:tabs>
      <w:spacing w:line="560" w:lineRule="exact"/>
      <w:ind w:firstLine="480"/>
      <w:jc w:val="left"/>
    </w:pPr>
    <w:rPr>
      <w:rFonts w:ascii="宋体" w:hAnsi="宋体"/>
      <w:sz w:val="24"/>
      <w:szCs w:val="20"/>
    </w:rPr>
  </w:style>
  <w:style w:type="paragraph" w:styleId="9">
    <w:name w:val="List Number 3"/>
    <w:basedOn w:val="1"/>
    <w:unhideWhenUsed/>
    <w:qFormat/>
    <w:uiPriority w:val="18"/>
    <w:pPr>
      <w:widowControl/>
      <w:numPr>
        <w:ilvl w:val="2"/>
        <w:numId w:val="1"/>
      </w:numPr>
      <w:spacing w:before="40" w:after="160"/>
      <w:contextualSpacing/>
      <w:jc w:val="left"/>
    </w:pPr>
    <w:rPr>
      <w:rFonts w:eastAsia="微软雅黑" w:asciiTheme="minorHAnsi" w:hAnsiTheme="minorHAnsi" w:cstheme="minorBidi"/>
      <w:color w:val="595959" w:themeColor="text1" w:themeTint="A6"/>
      <w:kern w:val="20"/>
      <w:szCs w:val="20"/>
      <w:lang w:val="zh-CN"/>
      <w14:textFill>
        <w14:solidFill>
          <w14:schemeClr w14:val="tx1">
            <w14:lumMod w14:val="65000"/>
            <w14:lumOff w14:val="35000"/>
          </w14:schemeClr>
        </w14:solidFill>
      </w14:textFill>
    </w:rPr>
  </w:style>
  <w:style w:type="paragraph" w:styleId="10">
    <w:name w:val="Block Text"/>
    <w:basedOn w:val="1"/>
    <w:autoRedefine/>
    <w:qFormat/>
    <w:uiPriority w:val="0"/>
    <w:pPr>
      <w:jc w:val="left"/>
    </w:pPr>
    <w:rPr>
      <w:rFonts w:ascii="Times New Roman" w:hAnsi="Times New Roman"/>
      <w:sz w:val="24"/>
      <w:szCs w:val="24"/>
    </w:rPr>
  </w:style>
  <w:style w:type="paragraph" w:styleId="11">
    <w:name w:val="List Number 4"/>
    <w:basedOn w:val="1"/>
    <w:unhideWhenUsed/>
    <w:qFormat/>
    <w:uiPriority w:val="18"/>
    <w:pPr>
      <w:widowControl/>
      <w:numPr>
        <w:ilvl w:val="3"/>
        <w:numId w:val="1"/>
      </w:numPr>
      <w:spacing w:before="40" w:after="160"/>
      <w:contextualSpacing/>
      <w:jc w:val="left"/>
    </w:pPr>
    <w:rPr>
      <w:rFonts w:eastAsia="微软雅黑" w:asciiTheme="minorHAnsi" w:hAnsiTheme="minorHAnsi" w:cstheme="minorBidi"/>
      <w:color w:val="595959" w:themeColor="text1" w:themeTint="A6"/>
      <w:kern w:val="20"/>
      <w:szCs w:val="20"/>
      <w:lang w:val="zh-CN"/>
      <w14:textFill>
        <w14:solidFill>
          <w14:schemeClr w14:val="tx1">
            <w14:lumMod w14:val="65000"/>
            <w14:lumOff w14:val="35000"/>
          </w14:schemeClr>
        </w14:solidFill>
      </w14:textFill>
    </w:rPr>
  </w:style>
  <w:style w:type="paragraph" w:styleId="12">
    <w:name w:val="Date"/>
    <w:basedOn w:val="1"/>
    <w:next w:val="1"/>
    <w:link w:val="30"/>
    <w:qFormat/>
    <w:uiPriority w:val="0"/>
    <w:pPr>
      <w:adjustRightInd w:val="0"/>
      <w:spacing w:line="360" w:lineRule="atLeast"/>
      <w:textAlignment w:val="baseline"/>
    </w:pPr>
    <w:rPr>
      <w:rFonts w:ascii="Times New Roman" w:hAnsi="Times New Roman"/>
      <w:sz w:val="32"/>
      <w:szCs w:val="20"/>
    </w:rPr>
  </w:style>
  <w:style w:type="paragraph" w:styleId="13">
    <w:name w:val="footer"/>
    <w:basedOn w:val="1"/>
    <w:link w:val="26"/>
    <w:unhideWhenUsed/>
    <w:qFormat/>
    <w:uiPriority w:val="99"/>
    <w:pPr>
      <w:tabs>
        <w:tab w:val="center" w:pos="4153"/>
        <w:tab w:val="right" w:pos="8306"/>
      </w:tabs>
      <w:snapToGrid w:val="0"/>
      <w:jc w:val="left"/>
    </w:pPr>
    <w:rPr>
      <w:sz w:val="18"/>
      <w:szCs w:val="18"/>
    </w:rPr>
  </w:style>
  <w:style w:type="paragraph" w:styleId="14">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List Number 5"/>
    <w:basedOn w:val="1"/>
    <w:unhideWhenUsed/>
    <w:qFormat/>
    <w:uiPriority w:val="18"/>
    <w:pPr>
      <w:widowControl/>
      <w:numPr>
        <w:ilvl w:val="4"/>
        <w:numId w:val="1"/>
      </w:numPr>
      <w:spacing w:before="40" w:after="160"/>
      <w:contextualSpacing/>
      <w:jc w:val="left"/>
    </w:pPr>
    <w:rPr>
      <w:rFonts w:eastAsia="微软雅黑" w:asciiTheme="minorHAnsi" w:hAnsiTheme="minorHAnsi" w:cstheme="minorBidi"/>
      <w:color w:val="595959" w:themeColor="text1" w:themeTint="A6"/>
      <w:kern w:val="20"/>
      <w:szCs w:val="20"/>
      <w:lang w:val="zh-CN"/>
      <w14:textFill>
        <w14:solidFill>
          <w14:schemeClr w14:val="tx1">
            <w14:lumMod w14:val="65000"/>
            <w14:lumOff w14:val="35000"/>
          </w14:schemeClr>
        </w14:solidFill>
      </w14:textFill>
    </w:rPr>
  </w:style>
  <w:style w:type="paragraph" w:styleId="16">
    <w:name w:val="HTML Preformatted"/>
    <w:basedOn w:val="1"/>
    <w:link w:val="3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eastAsia="Arial Unicode MS" w:cs="Arial"/>
      <w:szCs w:val="21"/>
    </w:rPr>
  </w:style>
  <w:style w:type="paragraph" w:styleId="17">
    <w:name w:val="Normal (Web)"/>
    <w:basedOn w:val="1"/>
    <w:semiHidden/>
    <w:unhideWhenUsed/>
    <w:qFormat/>
    <w:uiPriority w:val="99"/>
    <w:rPr>
      <w:rFonts w:ascii="Times New Roman" w:hAnsi="Times New Roman"/>
      <w:sz w:val="24"/>
      <w:szCs w:val="20"/>
    </w:rPr>
  </w:style>
  <w:style w:type="paragraph" w:styleId="18">
    <w:name w:val="annotation subject"/>
    <w:basedOn w:val="6"/>
    <w:next w:val="6"/>
    <w:link w:val="29"/>
    <w:semiHidden/>
    <w:unhideWhenUsed/>
    <w:uiPriority w:val="99"/>
    <w:rPr>
      <w:b/>
      <w:bCs/>
    </w:rPr>
  </w:style>
  <w:style w:type="table" w:styleId="20">
    <w:name w:val="Table Grid"/>
    <w:basedOn w:val="19"/>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Hyperlink"/>
    <w:basedOn w:val="21"/>
    <w:unhideWhenUsed/>
    <w:qFormat/>
    <w:uiPriority w:val="99"/>
    <w:rPr>
      <w:color w:val="0000FF" w:themeColor="hyperlink"/>
      <w:u w:val="single"/>
      <w14:textFill>
        <w14:solidFill>
          <w14:schemeClr w14:val="hlink"/>
        </w14:solidFill>
      </w14:textFill>
    </w:rPr>
  </w:style>
  <w:style w:type="paragraph" w:customStyle="1" w:styleId="23">
    <w:name w:val="Default"/>
    <w:link w:val="32"/>
    <w:qFormat/>
    <w:uiPriority w:val="0"/>
    <w:pPr>
      <w:widowControl w:val="0"/>
      <w:autoSpaceDE w:val="0"/>
      <w:autoSpaceDN w:val="0"/>
      <w:adjustRightInd w:val="0"/>
    </w:pPr>
    <w:rPr>
      <w:rFonts w:ascii="......." w:hAnsi="Calibri" w:eastAsia="......." w:cs="......."/>
      <w:color w:val="000000"/>
      <w:kern w:val="0"/>
      <w:sz w:val="24"/>
      <w:szCs w:val="24"/>
      <w:lang w:val="en-US" w:eastAsia="zh-CN" w:bidi="ar-SA"/>
    </w:rPr>
  </w:style>
  <w:style w:type="character" w:customStyle="1" w:styleId="24">
    <w:name w:val="正文文本缩进 Char"/>
    <w:basedOn w:val="21"/>
    <w:link w:val="8"/>
    <w:qFormat/>
    <w:uiPriority w:val="0"/>
    <w:rPr>
      <w:rFonts w:ascii="宋体" w:hAnsi="宋体" w:eastAsia="宋体" w:cs="Times New Roman"/>
      <w:sz w:val="24"/>
      <w:szCs w:val="20"/>
    </w:rPr>
  </w:style>
  <w:style w:type="character" w:customStyle="1" w:styleId="25">
    <w:name w:val="页眉 Char"/>
    <w:basedOn w:val="21"/>
    <w:link w:val="14"/>
    <w:qFormat/>
    <w:uiPriority w:val="99"/>
    <w:rPr>
      <w:rFonts w:ascii="Calibri" w:hAnsi="Calibri" w:eastAsia="宋体" w:cs="Times New Roman"/>
      <w:sz w:val="18"/>
      <w:szCs w:val="18"/>
    </w:rPr>
  </w:style>
  <w:style w:type="character" w:customStyle="1" w:styleId="26">
    <w:name w:val="页脚 Char"/>
    <w:basedOn w:val="21"/>
    <w:link w:val="13"/>
    <w:qFormat/>
    <w:uiPriority w:val="99"/>
    <w:rPr>
      <w:rFonts w:ascii="Calibri" w:hAnsi="Calibri" w:eastAsia="宋体" w:cs="Times New Roman"/>
      <w:sz w:val="18"/>
      <w:szCs w:val="18"/>
    </w:rPr>
  </w:style>
  <w:style w:type="character" w:customStyle="1" w:styleId="27">
    <w:name w:val="control-label6"/>
    <w:basedOn w:val="21"/>
    <w:qFormat/>
    <w:uiPriority w:val="0"/>
    <w:rPr>
      <w:rFonts w:hint="eastAsia" w:ascii="微软雅黑" w:hAnsi="微软雅黑" w:eastAsia="微软雅黑"/>
    </w:rPr>
  </w:style>
  <w:style w:type="character" w:customStyle="1" w:styleId="28">
    <w:name w:val="批注文字 Char"/>
    <w:basedOn w:val="21"/>
    <w:link w:val="6"/>
    <w:qFormat/>
    <w:uiPriority w:val="99"/>
    <w:rPr>
      <w:rFonts w:ascii="Times New Roman" w:hAnsi="Times New Roman" w:eastAsia="宋体" w:cs="Times New Roman"/>
      <w:szCs w:val="20"/>
    </w:rPr>
  </w:style>
  <w:style w:type="character" w:customStyle="1" w:styleId="29">
    <w:name w:val="批注主题 Char"/>
    <w:basedOn w:val="28"/>
    <w:link w:val="18"/>
    <w:semiHidden/>
    <w:qFormat/>
    <w:uiPriority w:val="99"/>
    <w:rPr>
      <w:rFonts w:ascii="Times New Roman" w:hAnsi="Times New Roman" w:eastAsia="宋体" w:cs="Times New Roman"/>
      <w:b/>
      <w:bCs/>
      <w:szCs w:val="20"/>
    </w:rPr>
  </w:style>
  <w:style w:type="character" w:customStyle="1" w:styleId="30">
    <w:name w:val="日期 Char"/>
    <w:basedOn w:val="21"/>
    <w:link w:val="12"/>
    <w:qFormat/>
    <w:uiPriority w:val="0"/>
    <w:rPr>
      <w:rFonts w:ascii="Times New Roman" w:hAnsi="Times New Roman" w:eastAsia="宋体" w:cs="Times New Roman"/>
      <w:sz w:val="32"/>
      <w:szCs w:val="20"/>
    </w:rPr>
  </w:style>
  <w:style w:type="character" w:customStyle="1" w:styleId="31">
    <w:name w:val="日期 Char1"/>
    <w:basedOn w:val="21"/>
    <w:semiHidden/>
    <w:uiPriority w:val="99"/>
    <w:rPr>
      <w:rFonts w:ascii="Calibri" w:hAnsi="Calibri" w:eastAsia="宋体" w:cs="Times New Roman"/>
    </w:rPr>
  </w:style>
  <w:style w:type="character" w:customStyle="1" w:styleId="32">
    <w:name w:val="Default Char"/>
    <w:link w:val="23"/>
    <w:qFormat/>
    <w:locked/>
    <w:uiPriority w:val="0"/>
    <w:rPr>
      <w:rFonts w:ascii="......." w:hAnsi="Calibri" w:eastAsia="......." w:cs="......."/>
      <w:color w:val="000000"/>
      <w:kern w:val="0"/>
      <w:sz w:val="24"/>
      <w:szCs w:val="24"/>
    </w:rPr>
  </w:style>
  <w:style w:type="character" w:customStyle="1" w:styleId="33">
    <w:name w:val="HTML 预设格式 Char"/>
    <w:basedOn w:val="21"/>
    <w:link w:val="16"/>
    <w:uiPriority w:val="0"/>
    <w:rPr>
      <w:rFonts w:ascii="Arial" w:hAnsi="Arial" w:eastAsia="Arial Unicode MS" w:cs="Arial"/>
      <w:szCs w:val="21"/>
    </w:rPr>
  </w:style>
  <w:style w:type="character" w:customStyle="1" w:styleId="34">
    <w:name w:val="标题 3 Char"/>
    <w:basedOn w:val="21"/>
    <w:link w:val="3"/>
    <w:uiPriority w:val="0"/>
    <w:rPr>
      <w:rFonts w:ascii="Times New Roman" w:hAnsi="Times New Roman" w:eastAsia="宋体" w:cs="Times New Roman"/>
      <w:b/>
      <w:bCs/>
      <w:sz w:val="32"/>
      <w:szCs w:val="32"/>
    </w:rPr>
  </w:style>
  <w:style w:type="character" w:customStyle="1" w:styleId="35">
    <w:name w:val="标题 2 Char"/>
    <w:basedOn w:val="21"/>
    <w:link w:val="2"/>
    <w:uiPriority w:val="9"/>
    <w:rPr>
      <w:rFonts w:ascii="Cambria" w:hAnsi="Cambria" w:eastAsia="宋体" w:cs="Times New Roman"/>
      <w:b/>
      <w:bCs/>
      <w:sz w:val="32"/>
      <w:szCs w:val="32"/>
    </w:rPr>
  </w:style>
  <w:style w:type="character" w:customStyle="1" w:styleId="36">
    <w:name w:val="正文文本 Char"/>
    <w:basedOn w:val="21"/>
    <w:link w:val="7"/>
    <w:qFormat/>
    <w:uiPriority w:val="99"/>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711</Words>
  <Characters>4054</Characters>
  <Lines>33</Lines>
  <Paragraphs>9</Paragraphs>
  <TotalTime>14</TotalTime>
  <ScaleCrop>false</ScaleCrop>
  <LinksUpToDate>false</LinksUpToDate>
  <CharactersWithSpaces>4756</CharactersWithSpaces>
  <Application>WPS Office WWO_wpscloud_20250116195353-13c312bd48</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2026-01-05T16:38:00Z</dcterms:created>
  <dc:creator>王永锋</dc:creator>
  <cp:lastModifiedBy>未定义</cp:lastModifiedBy>
  <dcterms:modified xsi:type="dcterms:W3CDTF">2026-09-23T10:13:51Z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2EB22F5B2C3E3812DF35B36A53D29E36_43</vt:lpwstr>
  </property>
</Properties>
</file>